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682E" w14:textId="77777777" w:rsidR="00F7597D" w:rsidRPr="00551CEF" w:rsidRDefault="00F7597D" w:rsidP="00551CEF">
      <w:pPr>
        <w:pStyle w:val="Title"/>
        <w:rPr>
          <w:rFonts w:asciiTheme="minorHAnsi" w:hAnsiTheme="minorHAnsi" w:cstheme="minorHAnsi"/>
          <w:szCs w:val="28"/>
        </w:rPr>
      </w:pPr>
      <w:r w:rsidRPr="00551CEF">
        <w:rPr>
          <w:rFonts w:asciiTheme="minorHAnsi" w:hAnsiTheme="minorHAnsi" w:cstheme="minorHAnsi"/>
          <w:szCs w:val="28"/>
        </w:rPr>
        <w:t>SAMPLE</w:t>
      </w:r>
    </w:p>
    <w:p w14:paraId="49E667C1" w14:textId="77777777" w:rsidR="00F7597D" w:rsidRPr="00551CEF" w:rsidRDefault="00F7597D" w:rsidP="00551CEF">
      <w:pPr>
        <w:pStyle w:val="Title"/>
        <w:rPr>
          <w:rFonts w:asciiTheme="minorHAnsi" w:hAnsiTheme="minorHAnsi" w:cstheme="minorHAnsi"/>
          <w:szCs w:val="28"/>
        </w:rPr>
      </w:pPr>
    </w:p>
    <w:p w14:paraId="2727360D" w14:textId="77777777" w:rsidR="006652C6" w:rsidRPr="00551CEF" w:rsidRDefault="00F7597D" w:rsidP="00551CEF">
      <w:pPr>
        <w:pStyle w:val="Title"/>
        <w:rPr>
          <w:rFonts w:asciiTheme="minorHAnsi" w:hAnsiTheme="minorHAnsi" w:cstheme="minorHAnsi"/>
          <w:szCs w:val="28"/>
        </w:rPr>
      </w:pPr>
      <w:r w:rsidRPr="00551CEF">
        <w:rPr>
          <w:rFonts w:asciiTheme="minorHAnsi" w:hAnsiTheme="minorHAnsi" w:cstheme="minorHAnsi"/>
          <w:szCs w:val="28"/>
        </w:rPr>
        <w:t>OPTIONAL TEMPORARY RELOCATION ASSISTANCE POLICY</w:t>
      </w:r>
    </w:p>
    <w:p w14:paraId="26514985" w14:textId="77777777" w:rsidR="00F7597D" w:rsidRPr="00551CEF" w:rsidRDefault="00F7597D" w:rsidP="00551CEF">
      <w:pPr>
        <w:pStyle w:val="Title"/>
        <w:jc w:val="both"/>
        <w:rPr>
          <w:rFonts w:asciiTheme="minorHAnsi" w:hAnsiTheme="minorHAnsi" w:cstheme="minorHAnsi"/>
          <w:sz w:val="20"/>
          <w:szCs w:val="20"/>
        </w:rPr>
      </w:pPr>
    </w:p>
    <w:p w14:paraId="177E4105" w14:textId="7FBDB119" w:rsidR="006652C6" w:rsidRPr="00551CEF" w:rsidRDefault="00551CEF" w:rsidP="00551CEF">
      <w:pPr>
        <w:tabs>
          <w:tab w:val="center" w:pos="4680"/>
        </w:tabs>
        <w:suppressAutoHyphens/>
        <w:jc w:val="center"/>
        <w:rPr>
          <w:rFonts w:asciiTheme="minorHAnsi" w:hAnsiTheme="minorHAnsi" w:cstheme="minorHAnsi"/>
          <w:b/>
        </w:rPr>
      </w:pPr>
      <w:r w:rsidRPr="00551CEF">
        <w:rPr>
          <w:rFonts w:asciiTheme="minorHAnsi" w:hAnsiTheme="minorHAnsi" w:cstheme="minorHAnsi"/>
          <w:b/>
        </w:rPr>
        <w:t>VOLUNTARY OWNER OCCUPIED RESIDENTIAL SINGLE-FAMILY HOUSING</w:t>
      </w:r>
    </w:p>
    <w:p w14:paraId="61911E27" w14:textId="52FEC006" w:rsidR="006652C6" w:rsidRPr="00551CEF" w:rsidRDefault="00551CEF" w:rsidP="00551CEF">
      <w:pPr>
        <w:tabs>
          <w:tab w:val="center" w:pos="4680"/>
        </w:tabs>
        <w:suppressAutoHyphens/>
        <w:jc w:val="center"/>
        <w:rPr>
          <w:rFonts w:asciiTheme="minorHAnsi" w:hAnsiTheme="minorHAnsi" w:cstheme="minorHAnsi"/>
          <w:b/>
          <w:sz w:val="20"/>
          <w:szCs w:val="20"/>
        </w:rPr>
      </w:pPr>
      <w:r w:rsidRPr="00551CEF">
        <w:rPr>
          <w:rFonts w:asciiTheme="minorHAnsi" w:hAnsiTheme="minorHAnsi" w:cstheme="minorHAnsi"/>
          <w:b/>
        </w:rPr>
        <w:t>REHABILITATION AND LEAD-BASED PAINT MITIGATION/ABATEMENT</w:t>
      </w:r>
    </w:p>
    <w:p w14:paraId="173EA6FF"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59993C88"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 xml:space="preserve">WHEREAS, the </w:t>
      </w:r>
      <w:r w:rsidRPr="00551CEF">
        <w:rPr>
          <w:rFonts w:asciiTheme="minorHAnsi" w:hAnsiTheme="minorHAnsi" w:cstheme="minorHAnsi"/>
          <w:sz w:val="20"/>
          <w:szCs w:val="20"/>
          <w:u w:val="single"/>
        </w:rPr>
        <w:t xml:space="preserve">                                                                  </w:t>
      </w:r>
      <w:r w:rsidRPr="00551CEF">
        <w:rPr>
          <w:rFonts w:asciiTheme="minorHAnsi" w:hAnsiTheme="minorHAnsi" w:cstheme="minorHAnsi"/>
          <w:sz w:val="20"/>
          <w:szCs w:val="20"/>
        </w:rPr>
        <w:t>, herein referred to as the Agency, has allocated Community Development Block Grant (CDBG) funds for the purpose of carrying out a homeowner occupant rehabilitation project within the Agency's jurisdiction in compliance with eligible activity requirements of the CDBG Program rules and regulations.</w:t>
      </w:r>
    </w:p>
    <w:p w14:paraId="66B41A93"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266C6C32"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WHEREAS, CDBG funds may be used for optional temporary relocation payments and assistance to persons who are temporarily relocated by an activity that is not subject to the displaced person requirements found at 24 CFR Part 570.606.</w:t>
      </w:r>
    </w:p>
    <w:p w14:paraId="287F7822"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3D306C25"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WHEREAS, the Agency deems it in the best interest of resident homeowner-occupants to develop a written Optional Relocation Assistance Policy (Policy) to provide limited moving assistance for owner occupants who must move for temporary periods of time.</w:t>
      </w:r>
    </w:p>
    <w:p w14:paraId="05B19F56"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0A3A5C32"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 xml:space="preserve">NOW, THEREFORE, BE IT RESOLVED by the </w:t>
      </w:r>
      <w:r w:rsidRPr="00551CEF">
        <w:rPr>
          <w:rFonts w:asciiTheme="minorHAnsi" w:hAnsiTheme="minorHAnsi" w:cstheme="minorHAnsi"/>
          <w:sz w:val="20"/>
          <w:szCs w:val="20"/>
          <w:u w:val="single"/>
        </w:rPr>
        <w:t xml:space="preserve">                           _________________________</w:t>
      </w:r>
      <w:r w:rsidRPr="00551CEF">
        <w:rPr>
          <w:rFonts w:asciiTheme="minorHAnsi" w:hAnsiTheme="minorHAnsi" w:cstheme="minorHAnsi"/>
          <w:sz w:val="20"/>
          <w:szCs w:val="20"/>
        </w:rPr>
        <w:t xml:space="preserve"> that the assistance and guidelines for moving assistance for resident occupants be established as follows:</w:t>
      </w:r>
    </w:p>
    <w:p w14:paraId="7BEF953F"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313D7CBC" w14:textId="77777777" w:rsidR="006652C6" w:rsidRPr="00551CEF" w:rsidRDefault="006652C6" w:rsidP="00551CEF">
      <w:pPr>
        <w:tabs>
          <w:tab w:val="left" w:pos="0"/>
          <w:tab w:val="left" w:pos="720"/>
          <w:tab w:val="left" w:pos="4320"/>
        </w:tabs>
        <w:suppressAutoHyphens/>
        <w:ind w:left="720" w:right="720" w:hanging="720"/>
        <w:jc w:val="both"/>
        <w:rPr>
          <w:rFonts w:asciiTheme="minorHAnsi" w:hAnsiTheme="minorHAnsi" w:cstheme="minorHAnsi"/>
          <w:sz w:val="20"/>
          <w:szCs w:val="20"/>
        </w:rPr>
      </w:pPr>
      <w:r w:rsidRPr="00551CEF">
        <w:rPr>
          <w:rFonts w:asciiTheme="minorHAnsi" w:hAnsiTheme="minorHAnsi" w:cstheme="minorHAnsi"/>
          <w:sz w:val="20"/>
          <w:szCs w:val="20"/>
        </w:rPr>
        <w:tab/>
        <w:t>The Agency, under this Policy, provides certain moving assistance that makes available financial aid to resident owner-occupants who voluntarily apply for consideration for assistance under the Agency’s Voluntary Homeowner CDBG Rehabilitation Program.</w:t>
      </w:r>
    </w:p>
    <w:p w14:paraId="1EE7130A" w14:textId="77777777" w:rsidR="006652C6" w:rsidRPr="00551CEF" w:rsidRDefault="006652C6" w:rsidP="00551CEF">
      <w:pPr>
        <w:tabs>
          <w:tab w:val="left" w:pos="0"/>
          <w:tab w:val="left" w:pos="720"/>
          <w:tab w:val="left" w:pos="4320"/>
        </w:tabs>
        <w:suppressAutoHyphens/>
        <w:ind w:left="720"/>
        <w:jc w:val="both"/>
        <w:rPr>
          <w:rFonts w:asciiTheme="minorHAnsi" w:hAnsiTheme="minorHAnsi" w:cstheme="minorHAnsi"/>
          <w:sz w:val="20"/>
          <w:szCs w:val="20"/>
        </w:rPr>
      </w:pPr>
    </w:p>
    <w:p w14:paraId="21D218D6" w14:textId="77777777" w:rsidR="006652C6" w:rsidRPr="00551CEF" w:rsidRDefault="006652C6" w:rsidP="00551CEF">
      <w:pPr>
        <w:tabs>
          <w:tab w:val="left" w:pos="0"/>
          <w:tab w:val="left" w:pos="720"/>
          <w:tab w:val="left" w:pos="4320"/>
        </w:tabs>
        <w:suppressAutoHyphens/>
        <w:ind w:left="720"/>
        <w:jc w:val="both"/>
        <w:rPr>
          <w:rFonts w:asciiTheme="minorHAnsi" w:hAnsiTheme="minorHAnsi" w:cstheme="minorHAnsi"/>
          <w:sz w:val="20"/>
          <w:szCs w:val="20"/>
        </w:rPr>
      </w:pPr>
      <w:r w:rsidRPr="00551CEF">
        <w:rPr>
          <w:rFonts w:asciiTheme="minorHAnsi" w:hAnsiTheme="minorHAnsi" w:cstheme="minorHAnsi"/>
          <w:sz w:val="20"/>
          <w:szCs w:val="20"/>
        </w:rPr>
        <w:t>Eligibility for temporary relocation assistance is to be determined by the Agency on a case-by-case basis.  In general, the Agency will consider a request by staff involved with lead analysis, the Homeowner, and/or the General Contractor.</w:t>
      </w:r>
    </w:p>
    <w:p w14:paraId="140F980C" w14:textId="77777777" w:rsidR="006652C6" w:rsidRPr="00551CEF" w:rsidRDefault="006652C6" w:rsidP="00551CEF">
      <w:pPr>
        <w:tabs>
          <w:tab w:val="left" w:pos="0"/>
          <w:tab w:val="left" w:pos="720"/>
          <w:tab w:val="left" w:pos="4320"/>
        </w:tabs>
        <w:suppressAutoHyphens/>
        <w:ind w:left="720"/>
        <w:jc w:val="both"/>
        <w:rPr>
          <w:rFonts w:asciiTheme="minorHAnsi" w:hAnsiTheme="minorHAnsi" w:cstheme="minorHAnsi"/>
          <w:sz w:val="20"/>
          <w:szCs w:val="20"/>
        </w:rPr>
      </w:pPr>
    </w:p>
    <w:p w14:paraId="3548B0B8" w14:textId="67966583" w:rsidR="006652C6" w:rsidRPr="00551CEF" w:rsidRDefault="006652C6" w:rsidP="00551CEF">
      <w:pPr>
        <w:tabs>
          <w:tab w:val="left" w:pos="0"/>
          <w:tab w:val="left" w:pos="720"/>
          <w:tab w:val="left" w:pos="4320"/>
        </w:tabs>
        <w:suppressAutoHyphens/>
        <w:ind w:left="720"/>
        <w:jc w:val="both"/>
        <w:rPr>
          <w:rFonts w:asciiTheme="minorHAnsi" w:hAnsiTheme="minorHAnsi" w:cstheme="minorHAnsi"/>
          <w:sz w:val="20"/>
          <w:szCs w:val="20"/>
        </w:rPr>
      </w:pPr>
      <w:r w:rsidRPr="00551CEF">
        <w:rPr>
          <w:rFonts w:asciiTheme="minorHAnsi" w:hAnsiTheme="minorHAnsi" w:cstheme="minorHAnsi"/>
          <w:sz w:val="20"/>
          <w:szCs w:val="20"/>
        </w:rPr>
        <w:t xml:space="preserve">The Agency determines that the temporary relocation will exceed a </w:t>
      </w:r>
      <w:r w:rsidR="00551CEF" w:rsidRPr="00551CEF">
        <w:rPr>
          <w:rFonts w:asciiTheme="minorHAnsi" w:hAnsiTheme="minorHAnsi" w:cstheme="minorHAnsi"/>
          <w:sz w:val="20"/>
          <w:szCs w:val="20"/>
        </w:rPr>
        <w:t>one-night</w:t>
      </w:r>
      <w:r w:rsidRPr="00551CEF">
        <w:rPr>
          <w:rFonts w:asciiTheme="minorHAnsi" w:hAnsiTheme="minorHAnsi" w:cstheme="minorHAnsi"/>
          <w:sz w:val="20"/>
          <w:szCs w:val="20"/>
        </w:rPr>
        <w:t xml:space="preserve"> period and will involve the removal and storage of furniture.  [A temporary move that only requires the homeowner/family to vacate the housing unit for a </w:t>
      </w:r>
      <w:r w:rsidR="00551CEF" w:rsidRPr="00551CEF">
        <w:rPr>
          <w:rFonts w:asciiTheme="minorHAnsi" w:hAnsiTheme="minorHAnsi" w:cstheme="minorHAnsi"/>
          <w:sz w:val="20"/>
          <w:szCs w:val="20"/>
        </w:rPr>
        <w:t>one-night</w:t>
      </w:r>
      <w:r w:rsidRPr="00551CEF">
        <w:rPr>
          <w:rFonts w:asciiTheme="minorHAnsi" w:hAnsiTheme="minorHAnsi" w:cstheme="minorHAnsi"/>
          <w:sz w:val="20"/>
          <w:szCs w:val="20"/>
        </w:rPr>
        <w:t xml:space="preserve"> period and does not require the removal and storage of furniture is not eligible for temporary move assistance under this Policy.]</w:t>
      </w:r>
    </w:p>
    <w:p w14:paraId="40B04AB3" w14:textId="77777777" w:rsidR="006652C6" w:rsidRPr="00551CEF" w:rsidRDefault="006652C6" w:rsidP="00551CEF">
      <w:pPr>
        <w:tabs>
          <w:tab w:val="left" w:pos="0"/>
          <w:tab w:val="left" w:pos="720"/>
          <w:tab w:val="left" w:pos="4320"/>
        </w:tabs>
        <w:suppressAutoHyphens/>
        <w:ind w:left="720" w:right="720" w:hanging="720"/>
        <w:jc w:val="both"/>
        <w:rPr>
          <w:rFonts w:asciiTheme="minorHAnsi" w:hAnsiTheme="minorHAnsi" w:cstheme="minorHAnsi"/>
          <w:sz w:val="20"/>
          <w:szCs w:val="20"/>
        </w:rPr>
      </w:pPr>
    </w:p>
    <w:p w14:paraId="462E9649" w14:textId="77777777" w:rsidR="006652C6" w:rsidRPr="00551CEF" w:rsidRDefault="006652C6" w:rsidP="00551CEF">
      <w:pPr>
        <w:tabs>
          <w:tab w:val="left" w:pos="0"/>
          <w:tab w:val="left" w:pos="720"/>
          <w:tab w:val="left" w:pos="4320"/>
        </w:tabs>
        <w:suppressAutoHyphens/>
        <w:ind w:left="720" w:right="720" w:hanging="720"/>
        <w:jc w:val="both"/>
        <w:rPr>
          <w:rFonts w:asciiTheme="minorHAnsi" w:hAnsiTheme="minorHAnsi" w:cstheme="minorHAnsi"/>
          <w:sz w:val="20"/>
          <w:szCs w:val="20"/>
        </w:rPr>
      </w:pPr>
      <w:r w:rsidRPr="00551CEF">
        <w:rPr>
          <w:rFonts w:asciiTheme="minorHAnsi" w:hAnsiTheme="minorHAnsi" w:cstheme="minorHAnsi"/>
          <w:sz w:val="20"/>
          <w:szCs w:val="20"/>
        </w:rPr>
        <w:tab/>
        <w:t>This Policy is a voluntary program and is made available to all eligible owner occupants that agree to the conditions outlined below.  A resident must agree to sign the OPTIONAL TEMPORARY RELOCATI</w:t>
      </w:r>
      <w:r w:rsidR="00F7597D" w:rsidRPr="00551CEF">
        <w:rPr>
          <w:rFonts w:asciiTheme="minorHAnsi" w:hAnsiTheme="minorHAnsi" w:cstheme="minorHAnsi"/>
          <w:sz w:val="20"/>
          <w:szCs w:val="20"/>
        </w:rPr>
        <w:t xml:space="preserve">ON ASSISTANCE APPLICATION form, </w:t>
      </w:r>
      <w:r w:rsidRPr="00551CEF">
        <w:rPr>
          <w:rFonts w:asciiTheme="minorHAnsi" w:hAnsiTheme="minorHAnsi" w:cstheme="minorHAnsi"/>
          <w:sz w:val="20"/>
          <w:szCs w:val="20"/>
        </w:rPr>
        <w:t>that says the resident understands and accepts the local government’s conditions and benefits.</w:t>
      </w:r>
    </w:p>
    <w:p w14:paraId="04483F85" w14:textId="77777777" w:rsidR="006652C6" w:rsidRPr="00551CEF" w:rsidRDefault="006652C6" w:rsidP="00551CEF">
      <w:pPr>
        <w:tabs>
          <w:tab w:val="left" w:pos="0"/>
          <w:tab w:val="left" w:pos="720"/>
          <w:tab w:val="left" w:pos="4320"/>
        </w:tabs>
        <w:suppressAutoHyphens/>
        <w:ind w:left="720" w:right="720" w:hanging="720"/>
        <w:jc w:val="both"/>
        <w:rPr>
          <w:rFonts w:asciiTheme="minorHAnsi" w:hAnsiTheme="minorHAnsi" w:cstheme="minorHAnsi"/>
          <w:sz w:val="20"/>
          <w:szCs w:val="20"/>
        </w:rPr>
      </w:pPr>
    </w:p>
    <w:p w14:paraId="62B9925A" w14:textId="77777777" w:rsidR="006652C6" w:rsidRPr="00551CEF" w:rsidRDefault="006652C6" w:rsidP="00551CEF">
      <w:pPr>
        <w:tabs>
          <w:tab w:val="center" w:pos="4680"/>
        </w:tabs>
        <w:suppressAutoHyphens/>
        <w:jc w:val="both"/>
        <w:rPr>
          <w:rFonts w:asciiTheme="minorHAnsi" w:hAnsiTheme="minorHAnsi" w:cstheme="minorHAnsi"/>
          <w:sz w:val="20"/>
          <w:szCs w:val="20"/>
        </w:rPr>
      </w:pPr>
      <w:r w:rsidRPr="00551CEF">
        <w:rPr>
          <w:rFonts w:asciiTheme="minorHAnsi" w:hAnsiTheme="minorHAnsi" w:cstheme="minorHAnsi"/>
          <w:sz w:val="20"/>
          <w:szCs w:val="20"/>
        </w:rPr>
        <w:t>In general, a homeowner/family who currently occupies their housing unit and is determined to be eligible to receive assistance under this Policy may request a moving assistance payment under the following terms and conditions:</w:t>
      </w:r>
    </w:p>
    <w:p w14:paraId="04307A04"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52C58D78" w14:textId="77777777" w:rsidR="006652C6" w:rsidRPr="00551CEF" w:rsidRDefault="006652C6" w:rsidP="00551CEF">
      <w:pPr>
        <w:numPr>
          <w:ilvl w:val="0"/>
          <w:numId w:val="1"/>
        </w:num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The Agency determines that occupancy of the unit during construction rehabilitation may expose the homeowner/family to a threat to their health and safety.</w:t>
      </w:r>
    </w:p>
    <w:p w14:paraId="7FD12043" w14:textId="77777777" w:rsidR="006652C6" w:rsidRPr="00551CEF" w:rsidRDefault="006652C6" w:rsidP="00551CEF">
      <w:pPr>
        <w:numPr>
          <w:ilvl w:val="12"/>
          <w:numId w:val="0"/>
        </w:numPr>
        <w:tabs>
          <w:tab w:val="left" w:pos="0"/>
          <w:tab w:val="left" w:pos="720"/>
          <w:tab w:val="left" w:pos="4320"/>
        </w:tabs>
        <w:suppressAutoHyphens/>
        <w:ind w:left="193"/>
        <w:jc w:val="both"/>
        <w:rPr>
          <w:rFonts w:asciiTheme="minorHAnsi" w:hAnsiTheme="minorHAnsi" w:cstheme="minorHAnsi"/>
          <w:sz w:val="20"/>
          <w:szCs w:val="20"/>
        </w:rPr>
      </w:pPr>
    </w:p>
    <w:p w14:paraId="14CFAB38" w14:textId="77777777" w:rsidR="006652C6" w:rsidRPr="00551CEF" w:rsidRDefault="006652C6" w:rsidP="00551CEF">
      <w:pPr>
        <w:numPr>
          <w:ilvl w:val="0"/>
          <w:numId w:val="1"/>
        </w:num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 xml:space="preserve">The Agency determines that it is in the best interest of the homeowner and his/her family to vacate the housing unit for a certain </w:t>
      </w:r>
      <w:proofErr w:type="gramStart"/>
      <w:r w:rsidRPr="00551CEF">
        <w:rPr>
          <w:rFonts w:asciiTheme="minorHAnsi" w:hAnsiTheme="minorHAnsi" w:cstheme="minorHAnsi"/>
          <w:sz w:val="20"/>
          <w:szCs w:val="20"/>
        </w:rPr>
        <w:t>period of time</w:t>
      </w:r>
      <w:proofErr w:type="gramEnd"/>
      <w:r w:rsidRPr="00551CEF">
        <w:rPr>
          <w:rFonts w:asciiTheme="minorHAnsi" w:hAnsiTheme="minorHAnsi" w:cstheme="minorHAnsi"/>
          <w:sz w:val="20"/>
          <w:szCs w:val="20"/>
        </w:rPr>
        <w:t xml:space="preserve"> to remove this threat.</w:t>
      </w:r>
    </w:p>
    <w:p w14:paraId="7DE84700" w14:textId="77777777" w:rsidR="006652C6" w:rsidRPr="00551CEF" w:rsidRDefault="006652C6" w:rsidP="00551CEF">
      <w:pPr>
        <w:numPr>
          <w:ilvl w:val="12"/>
          <w:numId w:val="0"/>
        </w:numPr>
        <w:tabs>
          <w:tab w:val="left" w:pos="0"/>
          <w:tab w:val="left" w:pos="720"/>
          <w:tab w:val="left" w:pos="4320"/>
        </w:tabs>
        <w:suppressAutoHyphens/>
        <w:ind w:left="720"/>
        <w:jc w:val="both"/>
        <w:rPr>
          <w:rFonts w:asciiTheme="minorHAnsi" w:hAnsiTheme="minorHAnsi" w:cstheme="minorHAnsi"/>
          <w:sz w:val="20"/>
          <w:szCs w:val="20"/>
        </w:rPr>
      </w:pPr>
      <w:bookmarkStart w:id="0" w:name="_GoBack"/>
      <w:bookmarkEnd w:id="0"/>
    </w:p>
    <w:p w14:paraId="52F8CC07" w14:textId="0378AB1E" w:rsidR="006652C6" w:rsidRPr="00551CEF" w:rsidRDefault="006652C6" w:rsidP="00551CEF">
      <w:pPr>
        <w:numPr>
          <w:ilvl w:val="0"/>
          <w:numId w:val="1"/>
        </w:num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lastRenderedPageBreak/>
        <w:t xml:space="preserve">The Agency has determined that the temporary relocation will exceed a </w:t>
      </w:r>
      <w:r w:rsidR="00551CEF" w:rsidRPr="00551CEF">
        <w:rPr>
          <w:rFonts w:asciiTheme="minorHAnsi" w:hAnsiTheme="minorHAnsi" w:cstheme="minorHAnsi"/>
          <w:sz w:val="20"/>
          <w:szCs w:val="20"/>
        </w:rPr>
        <w:t>one-night</w:t>
      </w:r>
      <w:r w:rsidRPr="00551CEF">
        <w:rPr>
          <w:rFonts w:asciiTheme="minorHAnsi" w:hAnsiTheme="minorHAnsi" w:cstheme="minorHAnsi"/>
          <w:sz w:val="20"/>
          <w:szCs w:val="20"/>
        </w:rPr>
        <w:t xml:space="preserve"> period and will require the removal and storage of furniture. </w:t>
      </w:r>
    </w:p>
    <w:p w14:paraId="2DB7FA4B"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0609C93F"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This Policy provides moving assistance as follows:</w:t>
      </w:r>
    </w:p>
    <w:p w14:paraId="407A19A1"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2736019E" w14:textId="77777777" w:rsidR="006652C6" w:rsidRPr="00551CEF" w:rsidRDefault="006652C6" w:rsidP="00551CEF">
      <w:pPr>
        <w:tabs>
          <w:tab w:val="left" w:pos="0"/>
          <w:tab w:val="left" w:pos="720"/>
          <w:tab w:val="left" w:pos="4320"/>
        </w:tabs>
        <w:suppressAutoHyphens/>
        <w:ind w:left="720"/>
        <w:jc w:val="both"/>
        <w:rPr>
          <w:rFonts w:asciiTheme="minorHAnsi" w:hAnsiTheme="minorHAnsi" w:cstheme="minorHAnsi"/>
          <w:sz w:val="20"/>
          <w:szCs w:val="20"/>
        </w:rPr>
      </w:pPr>
      <w:r w:rsidRPr="00551CEF">
        <w:rPr>
          <w:rFonts w:asciiTheme="minorHAnsi" w:hAnsiTheme="minorHAnsi" w:cstheme="minorHAnsi"/>
          <w:sz w:val="20"/>
          <w:szCs w:val="20"/>
        </w:rPr>
        <w:t>The temporarily displaced household will be responsible for the physical move.  The Agency will provide moving and storage assistance under this voluntary agreement.  The homeowner will be given the option of receiving a lump sum amount of $___</w:t>
      </w:r>
      <w:r w:rsidRPr="00551CEF">
        <w:rPr>
          <w:rFonts w:asciiTheme="minorHAnsi" w:hAnsiTheme="minorHAnsi" w:cstheme="minorHAnsi"/>
          <w:sz w:val="20"/>
          <w:szCs w:val="20"/>
          <w:u w:val="single"/>
        </w:rPr>
        <w:t>*</w:t>
      </w:r>
      <w:r w:rsidRPr="00551CEF">
        <w:rPr>
          <w:rFonts w:asciiTheme="minorHAnsi" w:hAnsiTheme="minorHAnsi" w:cstheme="minorHAnsi"/>
          <w:sz w:val="20"/>
          <w:szCs w:val="20"/>
        </w:rPr>
        <w:t xml:space="preserve">___ for moving and storage assistance defined as those costs directly related to the packing, crating, storage, and insurance cost required to move a household out of the housing to be rehabilitated and back into the house upon the completion of the rehabilitation work and the successful completion of a lead-based paint clearance exam (if required).  </w:t>
      </w:r>
    </w:p>
    <w:p w14:paraId="5DE8D2DA" w14:textId="77777777" w:rsidR="006652C6" w:rsidRPr="00551CEF" w:rsidRDefault="006652C6" w:rsidP="00551CEF">
      <w:pPr>
        <w:tabs>
          <w:tab w:val="left" w:pos="0"/>
          <w:tab w:val="left" w:pos="720"/>
          <w:tab w:val="left" w:pos="4320"/>
        </w:tabs>
        <w:suppressAutoHyphens/>
        <w:ind w:left="720"/>
        <w:jc w:val="both"/>
        <w:rPr>
          <w:rFonts w:asciiTheme="minorHAnsi" w:hAnsiTheme="minorHAnsi" w:cstheme="minorHAnsi"/>
          <w:sz w:val="20"/>
          <w:szCs w:val="20"/>
        </w:rPr>
      </w:pPr>
    </w:p>
    <w:p w14:paraId="47EDE7D6" w14:textId="77777777" w:rsidR="006652C6" w:rsidRPr="00551CEF" w:rsidRDefault="006652C6" w:rsidP="00551CEF">
      <w:pPr>
        <w:pStyle w:val="BodyTextIndent2"/>
        <w:rPr>
          <w:rFonts w:asciiTheme="minorHAnsi" w:hAnsiTheme="minorHAnsi" w:cstheme="minorHAnsi"/>
          <w:sz w:val="20"/>
          <w:szCs w:val="20"/>
        </w:rPr>
      </w:pPr>
      <w:r w:rsidRPr="00551CEF">
        <w:rPr>
          <w:rFonts w:asciiTheme="minorHAnsi" w:hAnsiTheme="minorHAnsi" w:cstheme="minorHAnsi"/>
          <w:sz w:val="20"/>
          <w:szCs w:val="20"/>
        </w:rPr>
        <w:t xml:space="preserve">*Note:  The level of assistance provided may not exceed the levels indicated for the average number of furnished rooms referenced in the Residential Moving Expense and Dislocation Allowance Payment Schedule for South Carolina.  </w:t>
      </w:r>
    </w:p>
    <w:p w14:paraId="0CE3D323"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1B27A9C1" w14:textId="77777777" w:rsidR="006652C6" w:rsidRPr="00551CEF" w:rsidRDefault="006652C6" w:rsidP="00551CEF">
      <w:pPr>
        <w:pStyle w:val="BodyTextIndent"/>
        <w:jc w:val="both"/>
        <w:rPr>
          <w:rFonts w:asciiTheme="minorHAnsi" w:hAnsiTheme="minorHAnsi" w:cstheme="minorHAnsi"/>
          <w:sz w:val="20"/>
          <w:szCs w:val="20"/>
        </w:rPr>
      </w:pPr>
      <w:r w:rsidRPr="00551CEF">
        <w:rPr>
          <w:rFonts w:asciiTheme="minorHAnsi" w:hAnsiTheme="minorHAnsi" w:cstheme="minorHAnsi"/>
          <w:sz w:val="20"/>
          <w:szCs w:val="20"/>
        </w:rPr>
        <w:t xml:space="preserve">The Agency is willing to take any other action that it determines is reasonable to assist each family and/or individual with their temporary move. </w:t>
      </w:r>
    </w:p>
    <w:p w14:paraId="5BA801E4"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575D6B2F" w14:textId="77777777" w:rsidR="006652C6" w:rsidRPr="00551CEF" w:rsidRDefault="006652C6" w:rsidP="00551CEF">
      <w:pPr>
        <w:pStyle w:val="BodyText"/>
        <w:rPr>
          <w:rFonts w:asciiTheme="minorHAnsi" w:hAnsiTheme="minorHAnsi" w:cstheme="minorHAnsi"/>
          <w:sz w:val="20"/>
          <w:szCs w:val="20"/>
        </w:rPr>
      </w:pPr>
      <w:r w:rsidRPr="00551CEF">
        <w:rPr>
          <w:rFonts w:asciiTheme="minorHAnsi" w:hAnsiTheme="minorHAnsi" w:cstheme="minorHAnsi"/>
          <w:sz w:val="20"/>
          <w:szCs w:val="20"/>
        </w:rPr>
        <w:t xml:space="preserve">The activities outlined in this Policy, which is funded in whole or in part with funds received through the CDBG Program funded by the South Carolina Department of Commerce and the United States Department of Housing and Urban Development (HUD), are still subject to all applicable Federal laws, regulations and rules for CDBG funded projects.  Furthermore, any recipient of CDBG funds is entitled to all rights and protections afforded by the Federal laws applicable to such HUD funded projects. </w:t>
      </w:r>
    </w:p>
    <w:p w14:paraId="35E5BE5F"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285"/>
        <w:gridCol w:w="969"/>
        <w:gridCol w:w="236"/>
        <w:gridCol w:w="832"/>
        <w:gridCol w:w="236"/>
        <w:gridCol w:w="847"/>
        <w:gridCol w:w="236"/>
        <w:gridCol w:w="528"/>
        <w:gridCol w:w="1288"/>
        <w:gridCol w:w="236"/>
        <w:gridCol w:w="277"/>
        <w:gridCol w:w="236"/>
        <w:gridCol w:w="1303"/>
        <w:gridCol w:w="236"/>
        <w:gridCol w:w="271"/>
        <w:gridCol w:w="6"/>
        <w:gridCol w:w="1224"/>
      </w:tblGrid>
      <w:tr w:rsidR="006652C6" w:rsidRPr="00551CEF" w14:paraId="28871862" w14:textId="77777777">
        <w:trPr>
          <w:trHeight w:val="584"/>
        </w:trPr>
        <w:tc>
          <w:tcPr>
            <w:tcW w:w="2160" w:type="dxa"/>
            <w:gridSpan w:val="3"/>
            <w:tcBorders>
              <w:top w:val="single" w:sz="4" w:space="0" w:color="FFFFFF"/>
              <w:left w:val="single" w:sz="4" w:space="0" w:color="FFFFFF"/>
              <w:bottom w:val="single" w:sz="4" w:space="0" w:color="FFFFFF"/>
              <w:right w:val="single" w:sz="4" w:space="0" w:color="FFFFFF"/>
            </w:tcBorders>
            <w:vAlign w:val="bottom"/>
          </w:tcPr>
          <w:p w14:paraId="49C50340"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 xml:space="preserve">ADOPTED this the </w:t>
            </w:r>
          </w:p>
        </w:tc>
        <w:tc>
          <w:tcPr>
            <w:tcW w:w="236" w:type="dxa"/>
            <w:tcBorders>
              <w:top w:val="single" w:sz="4" w:space="0" w:color="FFFFFF"/>
              <w:left w:val="single" w:sz="4" w:space="0" w:color="FFFFFF"/>
              <w:right w:val="single" w:sz="4" w:space="0" w:color="FFFFFF"/>
            </w:tcBorders>
            <w:vAlign w:val="bottom"/>
          </w:tcPr>
          <w:p w14:paraId="261A85B1"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832" w:type="dxa"/>
            <w:tcBorders>
              <w:top w:val="single" w:sz="4" w:space="0" w:color="FFFFFF"/>
              <w:left w:val="single" w:sz="4" w:space="0" w:color="FFFFFF"/>
              <w:right w:val="single" w:sz="4" w:space="0" w:color="FFFFFF"/>
            </w:tcBorders>
            <w:vAlign w:val="bottom"/>
          </w:tcPr>
          <w:p w14:paraId="6287B02A"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236" w:type="dxa"/>
            <w:tcBorders>
              <w:top w:val="single" w:sz="4" w:space="0" w:color="FFFFFF"/>
              <w:left w:val="single" w:sz="4" w:space="0" w:color="FFFFFF"/>
              <w:right w:val="single" w:sz="4" w:space="0" w:color="FFFFFF"/>
            </w:tcBorders>
            <w:vAlign w:val="bottom"/>
          </w:tcPr>
          <w:p w14:paraId="0A7E256F"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847" w:type="dxa"/>
            <w:tcBorders>
              <w:top w:val="single" w:sz="4" w:space="0" w:color="FFFFFF"/>
              <w:left w:val="single" w:sz="4" w:space="0" w:color="FFFFFF"/>
              <w:bottom w:val="single" w:sz="4" w:space="0" w:color="FFFFFF"/>
              <w:right w:val="single" w:sz="4" w:space="0" w:color="FFFFFF"/>
            </w:tcBorders>
            <w:vAlign w:val="bottom"/>
          </w:tcPr>
          <w:p w14:paraId="246ED590"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 xml:space="preserve">day of </w:t>
            </w:r>
          </w:p>
        </w:tc>
        <w:tc>
          <w:tcPr>
            <w:tcW w:w="236" w:type="dxa"/>
            <w:tcBorders>
              <w:top w:val="single" w:sz="4" w:space="0" w:color="FFFFFF"/>
              <w:left w:val="single" w:sz="4" w:space="0" w:color="FFFFFF"/>
              <w:right w:val="single" w:sz="4" w:space="0" w:color="FFFFFF"/>
            </w:tcBorders>
            <w:vAlign w:val="bottom"/>
          </w:tcPr>
          <w:p w14:paraId="4B03BEAB"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1816" w:type="dxa"/>
            <w:gridSpan w:val="2"/>
            <w:tcBorders>
              <w:top w:val="single" w:sz="4" w:space="0" w:color="FFFFFF"/>
              <w:left w:val="single" w:sz="4" w:space="0" w:color="FFFFFF"/>
              <w:right w:val="single" w:sz="4" w:space="0" w:color="FFFFFF"/>
            </w:tcBorders>
            <w:vAlign w:val="bottom"/>
          </w:tcPr>
          <w:p w14:paraId="69B6794A"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236" w:type="dxa"/>
            <w:tcBorders>
              <w:top w:val="single" w:sz="4" w:space="0" w:color="FFFFFF"/>
              <w:left w:val="single" w:sz="4" w:space="0" w:color="FFFFFF"/>
              <w:right w:val="single" w:sz="4" w:space="0" w:color="FFFFFF"/>
            </w:tcBorders>
            <w:vAlign w:val="bottom"/>
          </w:tcPr>
          <w:p w14:paraId="1857FD8D"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277" w:type="dxa"/>
            <w:tcBorders>
              <w:top w:val="single" w:sz="4" w:space="0" w:color="FFFFFF"/>
              <w:left w:val="single" w:sz="4" w:space="0" w:color="FFFFFF"/>
              <w:bottom w:val="single" w:sz="4" w:space="0" w:color="FFFFFF"/>
              <w:right w:val="single" w:sz="4" w:space="0" w:color="FFFFFF"/>
            </w:tcBorders>
            <w:vAlign w:val="bottom"/>
          </w:tcPr>
          <w:p w14:paraId="02A6D2C2"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w:t>
            </w:r>
          </w:p>
        </w:tc>
        <w:tc>
          <w:tcPr>
            <w:tcW w:w="236" w:type="dxa"/>
            <w:tcBorders>
              <w:top w:val="single" w:sz="4" w:space="0" w:color="FFFFFF"/>
              <w:left w:val="single" w:sz="4" w:space="0" w:color="FFFFFF"/>
              <w:right w:val="single" w:sz="4" w:space="0" w:color="FFFFFF"/>
            </w:tcBorders>
            <w:vAlign w:val="bottom"/>
          </w:tcPr>
          <w:p w14:paraId="54F0095C"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1303" w:type="dxa"/>
            <w:tcBorders>
              <w:top w:val="single" w:sz="4" w:space="0" w:color="FFFFFF"/>
              <w:left w:val="single" w:sz="4" w:space="0" w:color="FFFFFF"/>
              <w:right w:val="single" w:sz="4" w:space="0" w:color="FFFFFF"/>
            </w:tcBorders>
            <w:vAlign w:val="bottom"/>
          </w:tcPr>
          <w:p w14:paraId="17A3E0B3"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236" w:type="dxa"/>
            <w:tcBorders>
              <w:top w:val="single" w:sz="4" w:space="0" w:color="FFFFFF"/>
              <w:left w:val="single" w:sz="4" w:space="0" w:color="FFFFFF"/>
              <w:right w:val="single" w:sz="4" w:space="0" w:color="FFFFFF"/>
            </w:tcBorders>
            <w:vAlign w:val="bottom"/>
          </w:tcPr>
          <w:p w14:paraId="04EFE815"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277" w:type="dxa"/>
            <w:gridSpan w:val="2"/>
            <w:tcBorders>
              <w:top w:val="single" w:sz="4" w:space="0" w:color="FFFFFF"/>
              <w:left w:val="single" w:sz="4" w:space="0" w:color="FFFFFF"/>
              <w:bottom w:val="single" w:sz="4" w:space="0" w:color="FFFFFF"/>
              <w:right w:val="single" w:sz="4" w:space="0" w:color="FFFFFF"/>
            </w:tcBorders>
            <w:vAlign w:val="bottom"/>
          </w:tcPr>
          <w:p w14:paraId="02A711D3"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w:t>
            </w:r>
          </w:p>
        </w:tc>
        <w:tc>
          <w:tcPr>
            <w:tcW w:w="1224" w:type="dxa"/>
            <w:tcBorders>
              <w:top w:val="single" w:sz="4" w:space="0" w:color="FFFFFF"/>
              <w:left w:val="single" w:sz="4" w:space="0" w:color="FFFFFF"/>
              <w:bottom w:val="single" w:sz="4" w:space="0" w:color="FFFFFF"/>
              <w:right w:val="single" w:sz="4" w:space="0" w:color="FFFFFF"/>
            </w:tcBorders>
            <w:vAlign w:val="bottom"/>
          </w:tcPr>
          <w:p w14:paraId="5E6374DD"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r>
      <w:tr w:rsidR="006652C6" w:rsidRPr="00551CEF" w14:paraId="500D42B2" w14:textId="77777777">
        <w:trPr>
          <w:cantSplit/>
          <w:trHeight w:val="521"/>
        </w:trPr>
        <w:tc>
          <w:tcPr>
            <w:tcW w:w="906" w:type="dxa"/>
            <w:tcBorders>
              <w:top w:val="single" w:sz="4" w:space="0" w:color="FFFFFF"/>
              <w:left w:val="single" w:sz="4" w:space="0" w:color="FFFFFF"/>
              <w:bottom w:val="single" w:sz="4" w:space="0" w:color="FFFFFF"/>
              <w:right w:val="single" w:sz="4" w:space="0" w:color="FFFFFF"/>
            </w:tcBorders>
            <w:vAlign w:val="bottom"/>
          </w:tcPr>
          <w:p w14:paraId="61BF26C4"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 xml:space="preserve">By the </w:t>
            </w:r>
          </w:p>
        </w:tc>
        <w:tc>
          <w:tcPr>
            <w:tcW w:w="8016" w:type="dxa"/>
            <w:gridSpan w:val="15"/>
            <w:tcBorders>
              <w:top w:val="single" w:sz="4" w:space="0" w:color="FFFFFF"/>
              <w:left w:val="single" w:sz="4" w:space="0" w:color="FFFFFF"/>
              <w:right w:val="single" w:sz="4" w:space="0" w:color="FFFFFF"/>
            </w:tcBorders>
            <w:vAlign w:val="bottom"/>
          </w:tcPr>
          <w:p w14:paraId="7D3F0BC2"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1230" w:type="dxa"/>
            <w:gridSpan w:val="2"/>
            <w:tcBorders>
              <w:top w:val="single" w:sz="4" w:space="0" w:color="FFFFFF"/>
              <w:left w:val="single" w:sz="4" w:space="0" w:color="FFFFFF"/>
              <w:bottom w:val="single" w:sz="4" w:space="0" w:color="FFFFFF"/>
              <w:right w:val="single" w:sz="4" w:space="0" w:color="FFFFFF"/>
            </w:tcBorders>
            <w:vAlign w:val="bottom"/>
          </w:tcPr>
          <w:p w14:paraId="76B31A84"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r>
      <w:tr w:rsidR="006652C6" w:rsidRPr="00551CEF" w14:paraId="7118BF62" w14:textId="77777777">
        <w:trPr>
          <w:cantSplit/>
          <w:trHeight w:val="890"/>
        </w:trPr>
        <w:tc>
          <w:tcPr>
            <w:tcW w:w="5075" w:type="dxa"/>
            <w:gridSpan w:val="9"/>
            <w:vMerge w:val="restart"/>
            <w:tcBorders>
              <w:top w:val="single" w:sz="4" w:space="0" w:color="FFFFFF"/>
              <w:left w:val="single" w:sz="4" w:space="0" w:color="FFFFFF"/>
              <w:right w:val="single" w:sz="4" w:space="0" w:color="FFFFFF"/>
            </w:tcBorders>
            <w:vAlign w:val="bottom"/>
          </w:tcPr>
          <w:p w14:paraId="27C49389"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5077" w:type="dxa"/>
            <w:gridSpan w:val="9"/>
            <w:tcBorders>
              <w:top w:val="single" w:sz="4" w:space="0" w:color="FFFFFF"/>
              <w:left w:val="single" w:sz="4" w:space="0" w:color="FFFFFF"/>
              <w:right w:val="single" w:sz="4" w:space="0" w:color="FFFFFF"/>
            </w:tcBorders>
            <w:vAlign w:val="bottom"/>
          </w:tcPr>
          <w:p w14:paraId="3B5CC5B0"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r>
      <w:tr w:rsidR="006652C6" w:rsidRPr="00551CEF" w14:paraId="6ACFCA68" w14:textId="77777777">
        <w:trPr>
          <w:cantSplit/>
          <w:trHeight w:val="350"/>
        </w:trPr>
        <w:tc>
          <w:tcPr>
            <w:tcW w:w="5075" w:type="dxa"/>
            <w:gridSpan w:val="9"/>
            <w:vMerge/>
            <w:tcBorders>
              <w:left w:val="single" w:sz="4" w:space="0" w:color="FFFFFF"/>
              <w:bottom w:val="single" w:sz="4" w:space="0" w:color="FFFFFF"/>
              <w:right w:val="single" w:sz="4" w:space="0" w:color="FFFFFF"/>
            </w:tcBorders>
            <w:vAlign w:val="bottom"/>
          </w:tcPr>
          <w:p w14:paraId="5D73199F"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5077" w:type="dxa"/>
            <w:gridSpan w:val="9"/>
            <w:tcBorders>
              <w:left w:val="single" w:sz="4" w:space="0" w:color="FFFFFF"/>
              <w:bottom w:val="single" w:sz="4" w:space="0" w:color="FFFFFF"/>
              <w:right w:val="single" w:sz="4" w:space="0" w:color="FFFFFF"/>
            </w:tcBorders>
            <w:vAlign w:val="bottom"/>
          </w:tcPr>
          <w:p w14:paraId="23AACEE4"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b/>
                <w:sz w:val="20"/>
                <w:szCs w:val="20"/>
              </w:rPr>
              <w:t>Signature of Agency Official</w:t>
            </w:r>
            <w:r w:rsidRPr="00551CEF">
              <w:rPr>
                <w:rFonts w:asciiTheme="minorHAnsi" w:hAnsiTheme="minorHAnsi" w:cstheme="minorHAnsi"/>
                <w:sz w:val="20"/>
                <w:szCs w:val="20"/>
              </w:rPr>
              <w:t xml:space="preserve">  </w:t>
            </w:r>
          </w:p>
        </w:tc>
      </w:tr>
      <w:tr w:rsidR="006652C6" w:rsidRPr="00551CEF" w14:paraId="77D07C1E" w14:textId="77777777">
        <w:trPr>
          <w:cantSplit/>
          <w:trHeight w:val="710"/>
        </w:trPr>
        <w:tc>
          <w:tcPr>
            <w:tcW w:w="1191" w:type="dxa"/>
            <w:gridSpan w:val="2"/>
            <w:tcBorders>
              <w:top w:val="single" w:sz="4" w:space="0" w:color="FFFFFF"/>
              <w:left w:val="single" w:sz="4" w:space="0" w:color="FFFFFF"/>
              <w:bottom w:val="single" w:sz="4" w:space="0" w:color="FFFFFF"/>
              <w:right w:val="single" w:sz="4" w:space="0" w:color="FFFFFF"/>
            </w:tcBorders>
            <w:vAlign w:val="bottom"/>
          </w:tcPr>
          <w:p w14:paraId="4094DFDB"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ATTEST:</w:t>
            </w:r>
          </w:p>
        </w:tc>
        <w:tc>
          <w:tcPr>
            <w:tcW w:w="3884" w:type="dxa"/>
            <w:gridSpan w:val="7"/>
            <w:tcBorders>
              <w:top w:val="single" w:sz="4" w:space="0" w:color="FFFFFF"/>
              <w:left w:val="single" w:sz="4" w:space="0" w:color="FFFFFF"/>
              <w:right w:val="single" w:sz="4" w:space="0" w:color="FFFFFF"/>
            </w:tcBorders>
            <w:vAlign w:val="bottom"/>
          </w:tcPr>
          <w:p w14:paraId="2A5CB9F0"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c>
          <w:tcPr>
            <w:tcW w:w="5077" w:type="dxa"/>
            <w:gridSpan w:val="9"/>
            <w:tcBorders>
              <w:top w:val="single" w:sz="4" w:space="0" w:color="FFFFFF"/>
              <w:left w:val="single" w:sz="4" w:space="0" w:color="FFFFFF"/>
              <w:bottom w:val="single" w:sz="4" w:space="0" w:color="FFFFFF"/>
              <w:right w:val="single" w:sz="4" w:space="0" w:color="FFFFFF"/>
            </w:tcBorders>
            <w:vAlign w:val="bottom"/>
          </w:tcPr>
          <w:p w14:paraId="4255FCCF"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tc>
      </w:tr>
    </w:tbl>
    <w:p w14:paraId="143692D2"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p>
    <w:p w14:paraId="0CAB48F3" w14:textId="77777777" w:rsidR="006652C6" w:rsidRPr="00551CEF" w:rsidRDefault="006652C6" w:rsidP="00551CEF">
      <w:pPr>
        <w:tabs>
          <w:tab w:val="left" w:pos="0"/>
          <w:tab w:val="left" w:pos="720"/>
          <w:tab w:val="left" w:pos="4320"/>
        </w:tabs>
        <w:suppressAutoHyphens/>
        <w:jc w:val="both"/>
        <w:rPr>
          <w:rFonts w:asciiTheme="minorHAnsi" w:hAnsiTheme="minorHAnsi" w:cstheme="minorHAnsi"/>
          <w:sz w:val="20"/>
          <w:szCs w:val="20"/>
        </w:rPr>
      </w:pPr>
      <w:r w:rsidRPr="00551CEF">
        <w:rPr>
          <w:rFonts w:asciiTheme="minorHAnsi" w:hAnsiTheme="minorHAnsi" w:cstheme="minorHAnsi"/>
          <w:sz w:val="20"/>
          <w:szCs w:val="20"/>
        </w:rPr>
        <w:tab/>
        <w:t xml:space="preserve"> </w:t>
      </w:r>
    </w:p>
    <w:sectPr w:rsidR="006652C6" w:rsidRPr="00551CEF" w:rsidSect="00F7597D">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6F38D" w14:textId="77777777" w:rsidR="003D4717" w:rsidRDefault="003D4717">
      <w:r>
        <w:separator/>
      </w:r>
    </w:p>
  </w:endnote>
  <w:endnote w:type="continuationSeparator" w:id="0">
    <w:p w14:paraId="3D192B38" w14:textId="77777777" w:rsidR="003D4717" w:rsidRDefault="003D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9FF1F" w14:textId="77777777" w:rsidR="00551CEF" w:rsidRDefault="00551CEF" w:rsidP="00551CEF">
    <w:pPr>
      <w:pStyle w:val="LFTFooterText"/>
      <w:pBdr>
        <w:bottom w:val="single" w:sz="6" w:space="1" w:color="auto"/>
      </w:pBdr>
      <w:jc w:val="left"/>
    </w:pPr>
    <w:bookmarkStart w:id="3" w:name="_Hlk28267322"/>
    <w:bookmarkStart w:id="4" w:name="_Hlk28267393"/>
  </w:p>
  <w:p w14:paraId="561D30C9" w14:textId="5A405A7D" w:rsidR="00551CEF" w:rsidRDefault="00551CEF" w:rsidP="00551CEF">
    <w:pPr>
      <w:pStyle w:val="LFTFooterText"/>
      <w:tabs>
        <w:tab w:val="clear" w:pos="8280"/>
        <w:tab w:val="right" w:pos="10224"/>
      </w:tabs>
      <w:jc w:val="center"/>
    </w:pPr>
    <w:r>
      <w:t>7-</w:t>
    </w:r>
    <w:r w:rsidR="00270628">
      <w:t>C</w:t>
    </w:r>
    <w:r>
      <w:t xml:space="preserve"> OPTIONAL TEMPORARY RELOCATION ASSISTANCE POLICY</w:t>
    </w:r>
    <w:r w:rsidR="002256BC">
      <w:t>, SAMPLE</w:t>
    </w:r>
    <w:r>
      <w:t xml:space="preserve"> </w:t>
    </w:r>
    <w:r w:rsidRPr="007540A5">
      <w:tab/>
    </w:r>
    <w:r w:rsidR="002256BC">
      <w:t>0</w:t>
    </w:r>
    <w:r>
      <w:t>9</w:t>
    </w:r>
    <w:r w:rsidRPr="007540A5">
      <w:t>/</w:t>
    </w:r>
    <w:r>
      <w:t>20</w:t>
    </w:r>
    <w:r w:rsidRPr="007540A5">
      <w:t>1</w:t>
    </w:r>
    <w:r>
      <w:t>3</w:t>
    </w:r>
  </w:p>
  <w:p w14:paraId="6F20957D" w14:textId="563097DB" w:rsidR="00F7597D" w:rsidRPr="00551CEF" w:rsidRDefault="00551CEF" w:rsidP="00551CEF">
    <w:pPr>
      <w:pStyle w:val="LFTFooterText"/>
      <w:tabs>
        <w:tab w:val="clear" w:pos="8280"/>
        <w:tab w:val="right" w:pos="9450"/>
      </w:tabs>
      <w:jc w:val="center"/>
    </w:pPr>
    <w:r>
      <w:fldChar w:fldCharType="begin"/>
    </w:r>
    <w:r>
      <w:instrText xml:space="preserve"> PAGE   \* MERGEFORMAT </w:instrText>
    </w:r>
    <w:r>
      <w:fldChar w:fldCharType="separate"/>
    </w:r>
    <w:r>
      <w:t>1</w:t>
    </w:r>
    <w:r>
      <w:rPr>
        <w:noProof/>
      </w:rPr>
      <w:fldChar w:fldCharType="end"/>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D8EA3" w14:textId="77777777" w:rsidR="003D4717" w:rsidRDefault="003D4717">
      <w:r>
        <w:separator/>
      </w:r>
    </w:p>
  </w:footnote>
  <w:footnote w:type="continuationSeparator" w:id="0">
    <w:p w14:paraId="10BFB373" w14:textId="77777777" w:rsidR="003D4717" w:rsidRDefault="003D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F5316" w14:textId="77777777" w:rsidR="00551CEF" w:rsidRPr="00551CEF" w:rsidRDefault="00551CEF" w:rsidP="00551CEF">
    <w:pPr>
      <w:pBdr>
        <w:bottom w:val="single" w:sz="2" w:space="1" w:color="auto"/>
      </w:pBdr>
      <w:tabs>
        <w:tab w:val="center" w:pos="4680"/>
        <w:tab w:val="right" w:pos="10224"/>
      </w:tabs>
      <w:rPr>
        <w:rFonts w:asciiTheme="majorHAnsi" w:eastAsiaTheme="minorHAnsi" w:hAnsiTheme="majorHAnsi" w:cstheme="minorBidi"/>
        <w:color w:val="000000" w:themeColor="text1"/>
        <w:sz w:val="18"/>
        <w:szCs w:val="22"/>
      </w:rPr>
    </w:pPr>
    <w:bookmarkStart w:id="1" w:name="_Hlk28267545"/>
    <w:bookmarkStart w:id="2" w:name="_Hlk28267307"/>
    <w:r w:rsidRPr="00551CEF">
      <w:rPr>
        <w:rFonts w:asciiTheme="majorHAnsi" w:eastAsiaTheme="minorHAnsi" w:hAnsiTheme="majorHAnsi" w:cstheme="minorBidi"/>
        <w:color w:val="000000" w:themeColor="text1"/>
        <w:sz w:val="18"/>
        <w:szCs w:val="22"/>
      </w:rPr>
      <w:t>MICHIGAN ECONOMIC DEVELOPMENT CORPORATION</w:t>
    </w:r>
    <w:r w:rsidRPr="00551CEF">
      <w:rPr>
        <w:rFonts w:asciiTheme="majorHAnsi" w:eastAsiaTheme="minorHAnsi" w:hAnsiTheme="majorHAnsi" w:cstheme="minorBidi"/>
        <w:color w:val="000000" w:themeColor="text1"/>
        <w:sz w:val="18"/>
        <w:szCs w:val="22"/>
      </w:rPr>
      <w:tab/>
    </w:r>
    <w:r w:rsidRPr="00551CEF">
      <w:rPr>
        <w:rFonts w:asciiTheme="majorHAnsi" w:eastAsiaTheme="minorHAnsi" w:hAnsiTheme="majorHAnsi" w:cstheme="minorBidi"/>
        <w:color w:val="000000" w:themeColor="text1"/>
        <w:sz w:val="18"/>
        <w:szCs w:val="22"/>
      </w:rPr>
      <w:tab/>
      <w:t>CDBG</w:t>
    </w:r>
  </w:p>
  <w:bookmarkEnd w:id="1"/>
  <w:p w14:paraId="30336B7A" w14:textId="77777777" w:rsidR="00551CEF" w:rsidRPr="00551CEF" w:rsidRDefault="00551CEF" w:rsidP="00551CEF">
    <w:pPr>
      <w:tabs>
        <w:tab w:val="center" w:pos="4680"/>
        <w:tab w:val="right" w:pos="9360"/>
      </w:tabs>
      <w:rPr>
        <w:rFonts w:asciiTheme="minorHAnsi" w:eastAsiaTheme="minorHAnsi" w:hAnsiTheme="minorHAnsi" w:cstheme="minorBidi"/>
        <w:sz w:val="22"/>
        <w:szCs w:val="22"/>
      </w:rPr>
    </w:pPr>
  </w:p>
  <w:bookmarkEnd w:id="2"/>
  <w:p w14:paraId="2EDC8CC3" w14:textId="77777777" w:rsidR="00551CEF" w:rsidRDefault="00551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0C93"/>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 w15:restartNumberingAfterBreak="0">
    <w:nsid w:val="1D0E69A6"/>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34D7646E"/>
    <w:multiLevelType w:val="singleLevel"/>
    <w:tmpl w:val="5D38C614"/>
    <w:lvl w:ilvl="0">
      <w:start w:val="1"/>
      <w:numFmt w:val="lowerLetter"/>
      <w:lvlText w:val="%1."/>
      <w:legacy w:legacy="1" w:legacySpace="0" w:legacyIndent="360"/>
      <w:lvlJc w:val="left"/>
      <w:pPr>
        <w:ind w:left="1445" w:hanging="360"/>
      </w:pPr>
      <w:rPr>
        <w:rFonts w:ascii="Times New Roman" w:hAnsi="Times New Roman" w:hint="default"/>
        <w:b w:val="0"/>
        <w:i w:val="0"/>
        <w:sz w:val="24"/>
        <w:u w:val="none"/>
      </w:rPr>
    </w:lvl>
  </w:abstractNum>
  <w:abstractNum w:abstractNumId="3" w15:restartNumberingAfterBreak="0">
    <w:nsid w:val="4BEB41C5"/>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15:restartNumberingAfterBreak="0">
    <w:nsid w:val="51BE1F5F"/>
    <w:multiLevelType w:val="singleLevel"/>
    <w:tmpl w:val="83F485A0"/>
    <w:lvl w:ilvl="0">
      <w:start w:val="2"/>
      <w:numFmt w:val="decimal"/>
      <w:lvlText w:val="%1)"/>
      <w:legacy w:legacy="1" w:legacySpace="0" w:legacyIndent="360"/>
      <w:lvlJc w:val="left"/>
      <w:pPr>
        <w:ind w:left="1080" w:hanging="360"/>
      </w:pPr>
    </w:lvl>
  </w:abstractNum>
  <w:abstractNum w:abstractNumId="5" w15:restartNumberingAfterBreak="0">
    <w:nsid w:val="55A137D1"/>
    <w:multiLevelType w:val="singleLevel"/>
    <w:tmpl w:val="3BCC624A"/>
    <w:lvl w:ilvl="0">
      <w:start w:val="1"/>
      <w:numFmt w:val="lowerLetter"/>
      <w:lvlText w:val="%1. "/>
      <w:legacy w:legacy="1" w:legacySpace="0" w:legacyIndent="360"/>
      <w:lvlJc w:val="left"/>
      <w:pPr>
        <w:ind w:left="1445" w:hanging="360"/>
      </w:pPr>
      <w:rPr>
        <w:rFonts w:ascii="Times New Roman" w:hAnsi="Times New Roman" w:hint="default"/>
        <w:b w:val="0"/>
        <w:i w:val="0"/>
        <w:sz w:val="24"/>
        <w:u w:val="none"/>
      </w:rPr>
    </w:lvl>
  </w:abstractNum>
  <w:abstractNum w:abstractNumId="6" w15:restartNumberingAfterBreak="0">
    <w:nsid w:val="7003795A"/>
    <w:multiLevelType w:val="singleLevel"/>
    <w:tmpl w:val="8DD0F3C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BA"/>
    <w:rsid w:val="00125989"/>
    <w:rsid w:val="002256BC"/>
    <w:rsid w:val="00270628"/>
    <w:rsid w:val="002A2F75"/>
    <w:rsid w:val="00315A76"/>
    <w:rsid w:val="0037704C"/>
    <w:rsid w:val="003D4717"/>
    <w:rsid w:val="00551CEF"/>
    <w:rsid w:val="005B0C34"/>
    <w:rsid w:val="00627429"/>
    <w:rsid w:val="006652C6"/>
    <w:rsid w:val="006776BA"/>
    <w:rsid w:val="00710BEB"/>
    <w:rsid w:val="00812CF5"/>
    <w:rsid w:val="00985FAC"/>
    <w:rsid w:val="009E0127"/>
    <w:rsid w:val="00A2770A"/>
    <w:rsid w:val="00B1146E"/>
    <w:rsid w:val="00C605E0"/>
    <w:rsid w:val="00CF0808"/>
    <w:rsid w:val="00D66C71"/>
    <w:rsid w:val="00F51866"/>
    <w:rsid w:val="00F7597D"/>
    <w:rsid w:val="00F8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B95FF"/>
  <w15:chartTrackingRefBased/>
  <w15:docId w15:val="{B7019816-B56C-4333-AFF7-1224034B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720"/>
        <w:tab w:val="left" w:pos="4320"/>
      </w:tabs>
      <w:suppressAutoHyphens/>
      <w:ind w:left="720"/>
    </w:pPr>
  </w:style>
  <w:style w:type="paragraph" w:styleId="Title">
    <w:name w:val="Title"/>
    <w:basedOn w:val="Normal"/>
    <w:qFormat/>
    <w:pPr>
      <w:tabs>
        <w:tab w:val="center" w:pos="4680"/>
      </w:tabs>
      <w:suppressAutoHyphens/>
      <w:jc w:val="center"/>
    </w:pPr>
    <w:rPr>
      <w:b/>
      <w:sz w:val="28"/>
    </w:rPr>
  </w:style>
  <w:style w:type="paragraph" w:styleId="BodyTextIndent2">
    <w:name w:val="Body Text Indent 2"/>
    <w:basedOn w:val="Normal"/>
    <w:semiHidden/>
    <w:pPr>
      <w:tabs>
        <w:tab w:val="left" w:pos="0"/>
        <w:tab w:val="left" w:pos="720"/>
        <w:tab w:val="left" w:pos="4320"/>
      </w:tabs>
      <w:suppressAutoHyphens/>
      <w:ind w:left="720"/>
      <w:jc w:val="both"/>
    </w:pPr>
    <w:rPr>
      <w:i/>
      <w:iCs/>
    </w:rPr>
  </w:style>
  <w:style w:type="paragraph" w:styleId="BodyText">
    <w:name w:val="Body Text"/>
    <w:basedOn w:val="Normal"/>
    <w:semiHidden/>
    <w:pPr>
      <w:tabs>
        <w:tab w:val="left" w:pos="0"/>
        <w:tab w:val="left" w:pos="720"/>
        <w:tab w:val="left" w:pos="4320"/>
      </w:tabs>
      <w:suppressAutoHyphens/>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HeaderChar">
    <w:name w:val="Header Char"/>
    <w:link w:val="Header"/>
    <w:uiPriority w:val="99"/>
    <w:rsid w:val="00985FAC"/>
    <w:rPr>
      <w:sz w:val="24"/>
      <w:szCs w:val="24"/>
    </w:rPr>
  </w:style>
  <w:style w:type="character" w:customStyle="1" w:styleId="FooterChar">
    <w:name w:val="Footer Char"/>
    <w:link w:val="Footer"/>
    <w:uiPriority w:val="99"/>
    <w:rsid w:val="00985FAC"/>
    <w:rPr>
      <w:sz w:val="24"/>
      <w:szCs w:val="24"/>
    </w:rPr>
  </w:style>
  <w:style w:type="paragraph" w:customStyle="1" w:styleId="LFTFooterText">
    <w:name w:val="LFT Footer Text"/>
    <w:basedOn w:val="Normal"/>
    <w:qFormat/>
    <w:rsid w:val="00551CEF"/>
    <w:pPr>
      <w:tabs>
        <w:tab w:val="center" w:pos="4680"/>
        <w:tab w:val="right" w:pos="8280"/>
      </w:tabs>
      <w:jc w:val="right"/>
    </w:pPr>
    <w:rPr>
      <w:rFonts w:asciiTheme="majorHAnsi" w:eastAsiaTheme="minorHAnsi" w:hAnsiTheme="majorHAnsi" w:cstheme="minorBidi"/>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OPTIONAL TEMPORARY RELOCATION ASSISTANCE POLICY</vt:lpstr>
    </vt:vector>
  </TitlesOfParts>
  <Company>SCDOC</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TEMPORARY RELOCATION ASSISTANCE POLICY</dc:title>
  <dc:subject/>
  <dc:creator>ffrierso</dc:creator>
  <cp:keywords/>
  <cp:lastModifiedBy>Shawne Haddad</cp:lastModifiedBy>
  <cp:revision>9</cp:revision>
  <dcterms:created xsi:type="dcterms:W3CDTF">2017-03-15T15:39:00Z</dcterms:created>
  <dcterms:modified xsi:type="dcterms:W3CDTF">2021-09-14T21:08:00Z</dcterms:modified>
</cp:coreProperties>
</file>