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93" w:rsidRPr="00FF1893" w:rsidRDefault="00FF1893" w:rsidP="00FF1893">
      <w:pPr>
        <w:tabs>
          <w:tab w:val="left" w:pos="1440"/>
          <w:tab w:val="left" w:pos="4140"/>
          <w:tab w:val="left" w:pos="6840"/>
          <w:tab w:val="left" w:pos="9360"/>
        </w:tabs>
        <w:overflowPunct w:val="0"/>
        <w:autoSpaceDE w:val="0"/>
        <w:autoSpaceDN w:val="0"/>
        <w:adjustRightInd w:val="0"/>
        <w:jc w:val="center"/>
        <w:rPr>
          <w:rFonts w:eastAsia="Times New Roman" w:cs="Times New Roman"/>
          <w:b/>
          <w:sz w:val="28"/>
          <w:szCs w:val="20"/>
        </w:rPr>
      </w:pPr>
      <w:r w:rsidRPr="00FF1893">
        <w:rPr>
          <w:rFonts w:eastAsia="Times New Roman" w:cs="Times New Roman"/>
          <w:b/>
          <w:sz w:val="28"/>
          <w:szCs w:val="20"/>
        </w:rPr>
        <w:t>FINDING OF CATEGORICAL EXCLUSION</w:t>
      </w:r>
    </w:p>
    <w:p w:rsidR="00FF1893" w:rsidRPr="00FF1893" w:rsidRDefault="00FF1893" w:rsidP="00FF1893">
      <w:pPr>
        <w:tabs>
          <w:tab w:val="left" w:pos="1440"/>
          <w:tab w:val="left" w:pos="4140"/>
          <w:tab w:val="left" w:pos="6840"/>
          <w:tab w:val="left" w:pos="9360"/>
        </w:tabs>
        <w:overflowPunct w:val="0"/>
        <w:autoSpaceDE w:val="0"/>
        <w:autoSpaceDN w:val="0"/>
        <w:adjustRightInd w:val="0"/>
        <w:jc w:val="center"/>
        <w:rPr>
          <w:rFonts w:eastAsia="Times New Roman" w:cs="Times New Roman"/>
          <w:b/>
          <w:sz w:val="28"/>
          <w:szCs w:val="20"/>
        </w:rPr>
      </w:pPr>
      <w:r w:rsidRPr="00FF1893">
        <w:rPr>
          <w:rFonts w:eastAsia="Times New Roman" w:cs="Times New Roman"/>
          <w:b/>
          <w:sz w:val="28"/>
          <w:szCs w:val="20"/>
        </w:rPr>
        <w:t>(subject to 58.5)</w:t>
      </w:r>
    </w:p>
    <w:p w:rsidR="00FF1893" w:rsidRPr="00FF1893" w:rsidRDefault="00FF1893" w:rsidP="00FF1893">
      <w:pPr>
        <w:tabs>
          <w:tab w:val="left" w:pos="1440"/>
          <w:tab w:val="left" w:pos="4140"/>
          <w:tab w:val="left" w:pos="6840"/>
          <w:tab w:val="left" w:pos="9360"/>
        </w:tabs>
        <w:overflowPunct w:val="0"/>
        <w:autoSpaceDE w:val="0"/>
        <w:autoSpaceDN w:val="0"/>
        <w:adjustRightInd w:val="0"/>
        <w:jc w:val="center"/>
        <w:rPr>
          <w:rFonts w:eastAsia="Times New Roman" w:cs="Times New Roman"/>
          <w:b/>
          <w:sz w:val="28"/>
          <w:szCs w:val="20"/>
        </w:rPr>
      </w:pPr>
      <w:r w:rsidRPr="00FF1893">
        <w:rPr>
          <w:rFonts w:eastAsia="Times New Roman" w:cs="Times New Roman"/>
          <w:b/>
          <w:sz w:val="28"/>
          <w:szCs w:val="20"/>
        </w:rPr>
        <w:t>24 CFR 58.35(a)</w:t>
      </w:r>
    </w:p>
    <w:p w:rsidR="00FF1893" w:rsidRDefault="00FF1893" w:rsidP="0021251B">
      <w:pPr>
        <w:tabs>
          <w:tab w:val="left" w:pos="1440"/>
          <w:tab w:val="left" w:pos="4140"/>
          <w:tab w:val="left" w:pos="6840"/>
          <w:tab w:val="left" w:pos="9360"/>
        </w:tabs>
        <w:overflowPunct w:val="0"/>
        <w:autoSpaceDE w:val="0"/>
        <w:autoSpaceDN w:val="0"/>
        <w:adjustRightInd w:val="0"/>
        <w:rPr>
          <w:rFonts w:eastAsia="Times New Roman" w:cs="Times New Roman"/>
          <w:sz w:val="20"/>
          <w:szCs w:val="20"/>
        </w:rPr>
      </w:pPr>
    </w:p>
    <w:p w:rsidR="0021251B" w:rsidRPr="00FF1893" w:rsidRDefault="0021251B" w:rsidP="0021251B">
      <w:pPr>
        <w:tabs>
          <w:tab w:val="left" w:pos="1440"/>
          <w:tab w:val="left" w:pos="4140"/>
          <w:tab w:val="left" w:pos="6840"/>
          <w:tab w:val="left" w:pos="9360"/>
        </w:tabs>
        <w:overflowPunct w:val="0"/>
        <w:autoSpaceDE w:val="0"/>
        <w:autoSpaceDN w:val="0"/>
        <w:adjustRightInd w:val="0"/>
        <w:rPr>
          <w:rFonts w:eastAsia="Times New Roman" w:cs="Times New Roman"/>
          <w:sz w:val="20"/>
          <w:szCs w:val="20"/>
        </w:rPr>
      </w:pPr>
      <w:r w:rsidRPr="00FF1893">
        <w:rPr>
          <w:rFonts w:eastAsia="Times New Roman" w:cs="Times New Roman"/>
          <w:sz w:val="20"/>
          <w:szCs w:val="20"/>
        </w:rPr>
        <w:t>Grantee</w:t>
      </w:r>
      <w:r w:rsidRPr="00FF1893">
        <w:rPr>
          <w:rFonts w:eastAsia="Times New Roman" w:cs="Times New Roman"/>
          <w:sz w:val="20"/>
          <w:szCs w:val="20"/>
        </w:rPr>
        <w:tab/>
      </w:r>
      <w:r w:rsidR="00C36D9A" w:rsidRPr="00FF1893">
        <w:rPr>
          <w:rFonts w:eastAsia="Times New Roman" w:cs="Times New Roman"/>
          <w:sz w:val="20"/>
          <w:szCs w:val="20"/>
          <w:u w:val="single"/>
        </w:rPr>
        <w:fldChar w:fldCharType="begin">
          <w:ffData>
            <w:name w:val="Text2"/>
            <w:enabled/>
            <w:calcOnExit w:val="0"/>
            <w:textInput/>
          </w:ffData>
        </w:fldChar>
      </w:r>
      <w:bookmarkStart w:id="0" w:name="Text2"/>
      <w:r w:rsidR="00C36D9A" w:rsidRPr="00FF1893">
        <w:rPr>
          <w:rFonts w:eastAsia="Times New Roman" w:cs="Times New Roman"/>
          <w:sz w:val="20"/>
          <w:szCs w:val="20"/>
          <w:u w:val="single"/>
        </w:rPr>
        <w:instrText xml:space="preserve"> FORMTEXT </w:instrText>
      </w:r>
      <w:r w:rsidR="00C36D9A" w:rsidRPr="00FF1893">
        <w:rPr>
          <w:rFonts w:eastAsia="Times New Roman" w:cs="Times New Roman"/>
          <w:sz w:val="20"/>
          <w:szCs w:val="20"/>
          <w:u w:val="single"/>
        </w:rPr>
      </w:r>
      <w:r w:rsidR="00C36D9A" w:rsidRPr="00FF1893">
        <w:rPr>
          <w:rFonts w:eastAsia="Times New Roman" w:cs="Times New Roman"/>
          <w:sz w:val="20"/>
          <w:szCs w:val="20"/>
          <w:u w:val="single"/>
        </w:rPr>
        <w:fldChar w:fldCharType="separate"/>
      </w:r>
      <w:r w:rsidR="00C36D9A" w:rsidRPr="00FF1893">
        <w:rPr>
          <w:rFonts w:eastAsia="Times New Roman" w:cs="Times New Roman"/>
          <w:noProof/>
          <w:sz w:val="20"/>
          <w:szCs w:val="20"/>
          <w:u w:val="single"/>
        </w:rPr>
        <w:t> </w:t>
      </w:r>
      <w:r w:rsidR="00C36D9A" w:rsidRPr="00FF1893">
        <w:rPr>
          <w:rFonts w:eastAsia="Times New Roman" w:cs="Times New Roman"/>
          <w:noProof/>
          <w:sz w:val="20"/>
          <w:szCs w:val="20"/>
          <w:u w:val="single"/>
        </w:rPr>
        <w:t> </w:t>
      </w:r>
      <w:r w:rsidR="00C36D9A" w:rsidRPr="00FF1893">
        <w:rPr>
          <w:rFonts w:eastAsia="Times New Roman" w:cs="Times New Roman"/>
          <w:noProof/>
          <w:sz w:val="20"/>
          <w:szCs w:val="20"/>
          <w:u w:val="single"/>
        </w:rPr>
        <w:t> </w:t>
      </w:r>
      <w:r w:rsidR="00C36D9A" w:rsidRPr="00FF1893">
        <w:rPr>
          <w:rFonts w:eastAsia="Times New Roman" w:cs="Times New Roman"/>
          <w:noProof/>
          <w:sz w:val="20"/>
          <w:szCs w:val="20"/>
          <w:u w:val="single"/>
        </w:rPr>
        <w:t> </w:t>
      </w:r>
      <w:r w:rsidR="00C36D9A" w:rsidRPr="00FF1893">
        <w:rPr>
          <w:rFonts w:eastAsia="Times New Roman" w:cs="Times New Roman"/>
          <w:noProof/>
          <w:sz w:val="20"/>
          <w:szCs w:val="20"/>
          <w:u w:val="single"/>
        </w:rPr>
        <w:t> </w:t>
      </w:r>
      <w:r w:rsidR="00C36D9A" w:rsidRPr="00FF1893">
        <w:rPr>
          <w:rFonts w:eastAsia="Times New Roman" w:cs="Times New Roman"/>
          <w:sz w:val="20"/>
          <w:szCs w:val="20"/>
        </w:rPr>
        <w:fldChar w:fldCharType="end"/>
      </w:r>
      <w:bookmarkEnd w:id="0"/>
    </w:p>
    <w:p w:rsidR="00C36D9A" w:rsidRPr="00FF1893" w:rsidRDefault="00C36D9A" w:rsidP="0021251B">
      <w:pPr>
        <w:tabs>
          <w:tab w:val="left" w:pos="1440"/>
          <w:tab w:val="left" w:pos="4140"/>
          <w:tab w:val="left" w:pos="6840"/>
          <w:tab w:val="left" w:pos="9360"/>
        </w:tabs>
        <w:overflowPunct w:val="0"/>
        <w:autoSpaceDE w:val="0"/>
        <w:autoSpaceDN w:val="0"/>
        <w:adjustRightInd w:val="0"/>
        <w:rPr>
          <w:rFonts w:eastAsia="Times New Roman" w:cs="Times New Roman"/>
          <w:sz w:val="20"/>
          <w:szCs w:val="20"/>
          <w:u w:val="single"/>
        </w:rPr>
      </w:pPr>
      <w:r w:rsidRPr="00FF1893">
        <w:rPr>
          <w:rFonts w:eastAsia="Times New Roman" w:cs="Times New Roman"/>
          <w:sz w:val="20"/>
          <w:szCs w:val="20"/>
        </w:rPr>
        <w:t>Grant No.</w:t>
      </w:r>
      <w:r w:rsidR="0021251B" w:rsidRPr="00FF1893">
        <w:rPr>
          <w:rFonts w:eastAsia="Times New Roman" w:cs="Times New Roman"/>
          <w:sz w:val="20"/>
          <w:szCs w:val="20"/>
        </w:rPr>
        <w:tab/>
      </w:r>
      <w:r w:rsidRPr="00FF1893">
        <w:rPr>
          <w:rFonts w:eastAsia="Times New Roman" w:cs="Times New Roman"/>
          <w:sz w:val="20"/>
          <w:szCs w:val="20"/>
          <w:u w:val="single"/>
        </w:rPr>
        <w:fldChar w:fldCharType="begin">
          <w:ffData>
            <w:name w:val="Text3"/>
            <w:enabled/>
            <w:calcOnExit w:val="0"/>
            <w:textInput/>
          </w:ffData>
        </w:fldChar>
      </w:r>
      <w:bookmarkStart w:id="1" w:name="Text3"/>
      <w:r w:rsidRPr="00FF1893">
        <w:rPr>
          <w:rFonts w:eastAsia="Times New Roman" w:cs="Times New Roman"/>
          <w:sz w:val="20"/>
          <w:szCs w:val="20"/>
          <w:u w:val="single"/>
        </w:rPr>
        <w:instrText xml:space="preserve"> FORMTEXT </w:instrText>
      </w:r>
      <w:r w:rsidRPr="00FF1893">
        <w:rPr>
          <w:rFonts w:eastAsia="Times New Roman" w:cs="Times New Roman"/>
          <w:sz w:val="20"/>
          <w:szCs w:val="20"/>
          <w:u w:val="single"/>
        </w:rPr>
      </w:r>
      <w:r w:rsidRPr="00FF1893">
        <w:rPr>
          <w:rFonts w:eastAsia="Times New Roman" w:cs="Times New Roman"/>
          <w:sz w:val="20"/>
          <w:szCs w:val="20"/>
          <w:u w:val="single"/>
        </w:rPr>
        <w:fldChar w:fldCharType="separate"/>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sz w:val="20"/>
          <w:szCs w:val="20"/>
        </w:rPr>
        <w:fldChar w:fldCharType="end"/>
      </w:r>
      <w:bookmarkEnd w:id="1"/>
    </w:p>
    <w:p w:rsidR="00C36D9A" w:rsidRPr="00FF1893" w:rsidRDefault="00C36D9A" w:rsidP="00D9593E">
      <w:pPr>
        <w:tabs>
          <w:tab w:val="left" w:pos="4140"/>
          <w:tab w:val="left" w:pos="6840"/>
          <w:tab w:val="left" w:pos="9000"/>
        </w:tabs>
        <w:overflowPunct w:val="0"/>
        <w:autoSpaceDE w:val="0"/>
        <w:autoSpaceDN w:val="0"/>
        <w:adjustRightInd w:val="0"/>
        <w:rPr>
          <w:rFonts w:eastAsia="Times New Roman" w:cs="Times New Roman"/>
          <w:sz w:val="20"/>
          <w:szCs w:val="20"/>
          <w:u w:val="single"/>
        </w:rPr>
      </w:pPr>
    </w:p>
    <w:p w:rsidR="00C36D9A" w:rsidRPr="00FF1893" w:rsidRDefault="00C36D9A" w:rsidP="00D9593E">
      <w:pPr>
        <w:tabs>
          <w:tab w:val="left" w:pos="1260"/>
          <w:tab w:val="left" w:pos="6390"/>
          <w:tab w:val="left" w:pos="8910"/>
        </w:tabs>
        <w:overflowPunct w:val="0"/>
        <w:autoSpaceDE w:val="0"/>
        <w:autoSpaceDN w:val="0"/>
        <w:adjustRightInd w:val="0"/>
        <w:ind w:left="90"/>
        <w:jc w:val="both"/>
        <w:rPr>
          <w:rFonts w:eastAsia="Times New Roman" w:cs="Times New Roman"/>
          <w:sz w:val="20"/>
          <w:szCs w:val="20"/>
        </w:rPr>
      </w:pPr>
      <w:r w:rsidRPr="00FF1893">
        <w:rPr>
          <w:rFonts w:eastAsia="Times New Roman" w:cs="Times New Roman"/>
          <w:sz w:val="20"/>
          <w:szCs w:val="20"/>
        </w:rPr>
        <w:t xml:space="preserve">I hereby certify that the following activities comprising the </w:t>
      </w:r>
      <w:r w:rsidRPr="00FF1893">
        <w:rPr>
          <w:rFonts w:eastAsia="Times New Roman" w:cs="Times New Roman"/>
          <w:sz w:val="20"/>
          <w:szCs w:val="20"/>
          <w:u w:val="single"/>
        </w:rPr>
        <w:fldChar w:fldCharType="begin">
          <w:ffData>
            <w:name w:val="Text4"/>
            <w:enabled/>
            <w:calcOnExit w:val="0"/>
            <w:textInput/>
          </w:ffData>
        </w:fldChar>
      </w:r>
      <w:bookmarkStart w:id="2" w:name="Text4"/>
      <w:r w:rsidRPr="00FF1893">
        <w:rPr>
          <w:rFonts w:eastAsia="Times New Roman" w:cs="Times New Roman"/>
          <w:sz w:val="20"/>
          <w:szCs w:val="20"/>
          <w:u w:val="single"/>
        </w:rPr>
        <w:instrText xml:space="preserve"> FORMTEXT </w:instrText>
      </w:r>
      <w:r w:rsidRPr="00FF1893">
        <w:rPr>
          <w:rFonts w:eastAsia="Times New Roman" w:cs="Times New Roman"/>
          <w:sz w:val="20"/>
          <w:szCs w:val="20"/>
          <w:u w:val="single"/>
        </w:rPr>
      </w:r>
      <w:r w:rsidRPr="00FF1893">
        <w:rPr>
          <w:rFonts w:eastAsia="Times New Roman" w:cs="Times New Roman"/>
          <w:sz w:val="20"/>
          <w:szCs w:val="20"/>
          <w:u w:val="single"/>
        </w:rPr>
        <w:fldChar w:fldCharType="separate"/>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noProof/>
          <w:sz w:val="20"/>
          <w:szCs w:val="20"/>
          <w:u w:val="single"/>
        </w:rPr>
        <w:t> </w:t>
      </w:r>
      <w:r w:rsidRPr="00FF1893">
        <w:rPr>
          <w:rFonts w:eastAsia="Times New Roman" w:cs="Times New Roman"/>
          <w:sz w:val="20"/>
          <w:szCs w:val="20"/>
        </w:rPr>
        <w:fldChar w:fldCharType="end"/>
      </w:r>
      <w:bookmarkEnd w:id="2"/>
      <w:r w:rsidRPr="00FF1893">
        <w:rPr>
          <w:rFonts w:eastAsia="Times New Roman" w:cs="Times New Roman"/>
          <w:sz w:val="20"/>
          <w:szCs w:val="20"/>
        </w:rPr>
        <w:t xml:space="preserve"> Project have been reviewed and determined to be Categorically Excluded per 24 CFR 58.35(a) as follows:</w:t>
      </w:r>
    </w:p>
    <w:p w:rsidR="00C36D9A" w:rsidRPr="00FF1893" w:rsidRDefault="00C36D9A" w:rsidP="00D95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p w:rsidR="00C36D9A" w:rsidRDefault="00C36D9A" w:rsidP="00D9593E">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bookmarkStart w:id="3" w:name="Check1"/>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bookmarkEnd w:id="3"/>
      <w:r w:rsidR="0021251B" w:rsidRPr="00FF1893">
        <w:rPr>
          <w:rFonts w:eastAsia="Times New Roman" w:cs="Times New Roman"/>
          <w:sz w:val="20"/>
          <w:szCs w:val="20"/>
        </w:rPr>
        <w:t xml:space="preserve"> </w:t>
      </w:r>
      <w:r w:rsidRPr="00FF1893">
        <w:rPr>
          <w:rFonts w:eastAsia="Times New Roman" w:cs="Times New Roman"/>
          <w:sz w:val="20"/>
          <w:szCs w:val="20"/>
        </w:rPr>
        <w:t>(1)</w:t>
      </w:r>
      <w:r w:rsidRPr="00FF1893">
        <w:rPr>
          <w:rFonts w:eastAsia="Times New Roman" w:cs="Times New Roman"/>
          <w:sz w:val="20"/>
          <w:szCs w:val="20"/>
        </w:rPr>
        <w:tab/>
        <w:t>Acquisition, repair, improvement, reconstruction, or rehabilitation of public facilities and improvements (other than buildings) when the facilities and improvements are in place and will be retained in the same use without change in size or capacity of more than 20 percent (e.g., replacement of water or sewer lines, reconstruction of curbs and sidewalks, repaving of streets).</w:t>
      </w:r>
    </w:p>
    <w:p w:rsidR="00FF1893" w:rsidRPr="00FF1893" w:rsidRDefault="00FF1893" w:rsidP="00D9593E">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p>
    <w:p w:rsidR="00C36D9A" w:rsidRDefault="00C36D9A" w:rsidP="00D9593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0021251B" w:rsidRPr="00FF1893">
        <w:rPr>
          <w:rFonts w:eastAsia="Times New Roman" w:cs="Times New Roman"/>
          <w:sz w:val="20"/>
          <w:szCs w:val="20"/>
        </w:rPr>
        <w:t xml:space="preserve"> </w:t>
      </w:r>
      <w:r w:rsidRPr="00FF1893">
        <w:rPr>
          <w:rFonts w:eastAsia="Times New Roman" w:cs="Times New Roman"/>
          <w:sz w:val="20"/>
          <w:szCs w:val="20"/>
        </w:rPr>
        <w:t>(2)</w:t>
      </w:r>
      <w:r w:rsidRPr="00FF1893">
        <w:rPr>
          <w:rFonts w:eastAsia="Times New Roman" w:cs="Times New Roman"/>
          <w:sz w:val="20"/>
          <w:szCs w:val="20"/>
        </w:rPr>
        <w:tab/>
        <w:t>Special projects directed to the removal of material and architectural barriers that restrict the mobility of and accessibility to elderly and handicapped persons.</w:t>
      </w:r>
    </w:p>
    <w:p w:rsidR="00FF1893" w:rsidRPr="00FF1893" w:rsidRDefault="00FF1893" w:rsidP="00D9593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p>
    <w:p w:rsidR="00C36D9A" w:rsidRPr="00FF1893" w:rsidRDefault="00C36D9A" w:rsidP="00D9593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0021251B" w:rsidRPr="00FF1893">
        <w:rPr>
          <w:rFonts w:eastAsia="Times New Roman" w:cs="Times New Roman"/>
          <w:sz w:val="20"/>
          <w:szCs w:val="20"/>
        </w:rPr>
        <w:t xml:space="preserve"> </w:t>
      </w:r>
      <w:r w:rsidRPr="00FF1893">
        <w:rPr>
          <w:rFonts w:eastAsia="Times New Roman" w:cs="Times New Roman"/>
          <w:sz w:val="20"/>
          <w:szCs w:val="20"/>
        </w:rPr>
        <w:t>(3)</w:t>
      </w:r>
      <w:r w:rsidRPr="00FF1893">
        <w:rPr>
          <w:rFonts w:eastAsia="Times New Roman" w:cs="Times New Roman"/>
          <w:sz w:val="20"/>
          <w:szCs w:val="20"/>
        </w:rPr>
        <w:tab/>
        <w:t>Rehabilitation of buildings and improvements when the following conditions are met:</w:t>
      </w:r>
    </w:p>
    <w:p w:rsidR="00C36D9A" w:rsidRPr="00FF1893" w:rsidRDefault="00C36D9A" w:rsidP="00D9593E">
      <w:pPr>
        <w:overflowPunct w:val="0"/>
        <w:autoSpaceDE w:val="0"/>
        <w:autoSpaceDN w:val="0"/>
        <w:adjustRightInd w:val="0"/>
        <w:ind w:left="2340" w:hanging="576"/>
        <w:jc w:val="both"/>
        <w:rPr>
          <w:rFonts w:eastAsia="Times New Roman" w:cs="Times New Roman"/>
          <w:sz w:val="20"/>
          <w:szCs w:val="20"/>
        </w:rPr>
      </w:pPr>
      <w:r w:rsidRPr="00FF1893">
        <w:rPr>
          <w:rFonts w:eastAsia="Times New Roman" w:cs="Times New Roman"/>
          <w:sz w:val="20"/>
          <w:szCs w:val="20"/>
        </w:rPr>
        <w:t>(i)</w:t>
      </w:r>
      <w:r w:rsidRPr="00FF1893">
        <w:rPr>
          <w:rFonts w:eastAsia="Times New Roman" w:cs="Times New Roman"/>
          <w:sz w:val="20"/>
          <w:szCs w:val="20"/>
        </w:rPr>
        <w:tab/>
        <w:t>In the case of a building for residential use (with one to four units), the density is not increased beyond four units, the land use in not changed, and the footprint of the building is not increased in a floodplain or in a wetland;</w:t>
      </w:r>
    </w:p>
    <w:p w:rsidR="00C36D9A" w:rsidRPr="00FF1893" w:rsidRDefault="00C36D9A" w:rsidP="00D9593E">
      <w:pPr>
        <w:overflowPunct w:val="0"/>
        <w:autoSpaceDE w:val="0"/>
        <w:autoSpaceDN w:val="0"/>
        <w:adjustRightInd w:val="0"/>
        <w:ind w:left="2340" w:hanging="576"/>
        <w:jc w:val="both"/>
        <w:rPr>
          <w:rFonts w:eastAsia="Times New Roman" w:cs="Times New Roman"/>
          <w:sz w:val="20"/>
          <w:szCs w:val="20"/>
        </w:rPr>
      </w:pPr>
      <w:r w:rsidRPr="00FF1893">
        <w:rPr>
          <w:rFonts w:eastAsia="Times New Roman" w:cs="Times New Roman"/>
          <w:sz w:val="20"/>
          <w:szCs w:val="20"/>
        </w:rPr>
        <w:t>(ii)</w:t>
      </w:r>
      <w:r w:rsidRPr="00FF1893">
        <w:rPr>
          <w:rFonts w:eastAsia="Times New Roman" w:cs="Times New Roman"/>
          <w:sz w:val="20"/>
          <w:szCs w:val="20"/>
        </w:rPr>
        <w:tab/>
        <w:t>In the case of multifamily residential buildings:</w:t>
      </w:r>
    </w:p>
    <w:p w:rsidR="00C36D9A" w:rsidRPr="00FF1893" w:rsidRDefault="00C36D9A" w:rsidP="00D9593E">
      <w:pPr>
        <w:numPr>
          <w:ilvl w:val="0"/>
          <w:numId w:val="1"/>
        </w:numPr>
        <w:tabs>
          <w:tab w:val="left" w:pos="1296"/>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jc w:val="both"/>
        <w:rPr>
          <w:rFonts w:eastAsia="Times New Roman" w:cs="Times New Roman"/>
          <w:sz w:val="20"/>
          <w:szCs w:val="20"/>
        </w:rPr>
      </w:pPr>
      <w:r w:rsidRPr="00FF1893">
        <w:rPr>
          <w:rFonts w:eastAsia="Times New Roman" w:cs="Times New Roman"/>
          <w:sz w:val="20"/>
          <w:szCs w:val="20"/>
        </w:rPr>
        <w:t>Unit density is not changed more than 20 percent;</w:t>
      </w:r>
    </w:p>
    <w:p w:rsidR="00C36D9A" w:rsidRPr="00FF1893" w:rsidRDefault="00C36D9A" w:rsidP="00D9593E">
      <w:pPr>
        <w:numPr>
          <w:ilvl w:val="0"/>
          <w:numId w:val="1"/>
        </w:numPr>
        <w:tabs>
          <w:tab w:val="left" w:pos="1296"/>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jc w:val="both"/>
        <w:rPr>
          <w:rFonts w:eastAsia="Times New Roman" w:cs="Times New Roman"/>
          <w:sz w:val="20"/>
          <w:szCs w:val="20"/>
        </w:rPr>
      </w:pPr>
      <w:r w:rsidRPr="00FF1893">
        <w:rPr>
          <w:rFonts w:eastAsia="Times New Roman" w:cs="Times New Roman"/>
          <w:sz w:val="20"/>
          <w:szCs w:val="20"/>
        </w:rPr>
        <w:t>The project does not involve changes in land use from residential to non-residential; and</w:t>
      </w:r>
    </w:p>
    <w:p w:rsidR="00C36D9A" w:rsidRPr="00FF1893" w:rsidRDefault="00C36D9A" w:rsidP="00D9593E">
      <w:pPr>
        <w:numPr>
          <w:ilvl w:val="0"/>
          <w:numId w:val="1"/>
        </w:numPr>
        <w:tabs>
          <w:tab w:val="left" w:pos="1296"/>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jc w:val="both"/>
        <w:rPr>
          <w:rFonts w:eastAsia="Times New Roman" w:cs="Times New Roman"/>
          <w:sz w:val="20"/>
          <w:szCs w:val="20"/>
        </w:rPr>
      </w:pPr>
      <w:r w:rsidRPr="00FF1893">
        <w:rPr>
          <w:rFonts w:eastAsia="Times New Roman" w:cs="Times New Roman"/>
          <w:sz w:val="20"/>
          <w:szCs w:val="20"/>
        </w:rPr>
        <w:t xml:space="preserve">The estimated cost of rehabilitation is less than 75 percent of the total estimated cost of replacement after rehabilitation. </w:t>
      </w:r>
    </w:p>
    <w:p w:rsidR="00C36D9A" w:rsidRPr="00FF1893" w:rsidRDefault="00C36D9A" w:rsidP="00D9593E">
      <w:pPr>
        <w:tabs>
          <w:tab w:val="left" w:pos="2880"/>
          <w:tab w:val="left" w:pos="297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340" w:hanging="540"/>
        <w:rPr>
          <w:rFonts w:eastAsia="Times New Roman" w:cs="Times New Roman"/>
          <w:sz w:val="20"/>
          <w:szCs w:val="20"/>
        </w:rPr>
      </w:pPr>
      <w:r w:rsidRPr="00FF1893">
        <w:rPr>
          <w:rFonts w:eastAsia="Times New Roman" w:cs="Times New Roman"/>
          <w:sz w:val="20"/>
          <w:szCs w:val="20"/>
        </w:rPr>
        <w:t>(iii)</w:t>
      </w:r>
      <w:r w:rsidRPr="00FF1893">
        <w:rPr>
          <w:rFonts w:eastAsia="Times New Roman" w:cs="Times New Roman"/>
          <w:sz w:val="20"/>
          <w:szCs w:val="20"/>
        </w:rPr>
        <w:tab/>
        <w:t>In the case of non-residential structures, including commercial, industrial, and public buildings:</w:t>
      </w:r>
    </w:p>
    <w:p w:rsidR="00C36D9A" w:rsidRPr="00FF1893" w:rsidRDefault="00C36D9A" w:rsidP="00D9593E">
      <w:pPr>
        <w:numPr>
          <w:ilvl w:val="0"/>
          <w:numId w:val="2"/>
        </w:numPr>
        <w:tabs>
          <w:tab w:val="left" w:pos="1584"/>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rPr>
          <w:rFonts w:eastAsia="Times New Roman" w:cs="Times New Roman"/>
          <w:sz w:val="20"/>
          <w:szCs w:val="20"/>
        </w:rPr>
      </w:pPr>
      <w:r w:rsidRPr="00FF1893">
        <w:rPr>
          <w:rFonts w:eastAsia="Times New Roman" w:cs="Times New Roman"/>
          <w:sz w:val="20"/>
          <w:szCs w:val="20"/>
        </w:rPr>
        <w:t xml:space="preserve">The facilities and improvements are in place and will not be changed in size or capacity by more than 20 percent; and </w:t>
      </w:r>
    </w:p>
    <w:p w:rsidR="00C36D9A" w:rsidRDefault="00C36D9A" w:rsidP="00D9593E">
      <w:pPr>
        <w:numPr>
          <w:ilvl w:val="0"/>
          <w:numId w:val="2"/>
        </w:numPr>
        <w:tabs>
          <w:tab w:val="left" w:pos="1584"/>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rPr>
          <w:rFonts w:eastAsia="Times New Roman" w:cs="Times New Roman"/>
          <w:sz w:val="20"/>
          <w:szCs w:val="20"/>
        </w:rPr>
      </w:pPr>
      <w:r w:rsidRPr="00FF1893">
        <w:rPr>
          <w:rFonts w:eastAsia="Times New Roman" w:cs="Times New Roman"/>
          <w:sz w:val="20"/>
          <w:szCs w:val="20"/>
        </w:rPr>
        <w:t>The activity does not involve a change in land use, such as from non-residential to residential, commercial to industrial, of from one industrial use to another.</w:t>
      </w:r>
    </w:p>
    <w:p w:rsidR="00FF1893" w:rsidRPr="00FF1893" w:rsidRDefault="00FF1893" w:rsidP="00FF1893">
      <w:pPr>
        <w:tabs>
          <w:tab w:val="left" w:pos="1584"/>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rPr>
          <w:rFonts w:eastAsia="Times New Roman" w:cs="Times New Roman"/>
          <w:sz w:val="20"/>
          <w:szCs w:val="20"/>
        </w:rPr>
      </w:pPr>
    </w:p>
    <w:p w:rsidR="00C36D9A" w:rsidRDefault="00C36D9A" w:rsidP="00D9593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0021251B" w:rsidRPr="00FF1893">
        <w:rPr>
          <w:rFonts w:eastAsia="Times New Roman" w:cs="Times New Roman"/>
          <w:sz w:val="20"/>
          <w:szCs w:val="20"/>
        </w:rPr>
        <w:t xml:space="preserve"> </w:t>
      </w:r>
      <w:r w:rsidRPr="00FF1893">
        <w:rPr>
          <w:rFonts w:eastAsia="Times New Roman" w:cs="Times New Roman"/>
          <w:sz w:val="20"/>
          <w:szCs w:val="20"/>
        </w:rPr>
        <w:t>(4)(i)</w:t>
      </w:r>
      <w:r w:rsidRPr="00FF1893">
        <w:rPr>
          <w:rFonts w:eastAsia="Times New Roman" w:cs="Times New Roman"/>
          <w:sz w:val="20"/>
          <w:szCs w:val="20"/>
        </w:rPr>
        <w:tab/>
        <w:t>An individual action on up to four dwelling units where there is a maximum of four units on any one site. The units can be four one-unit buildings or one four-unit building or any combination in between. [This section does not apply to rehabilitation of a building for residential use (with one to four units)].</w:t>
      </w:r>
    </w:p>
    <w:p w:rsidR="00FF1893" w:rsidRPr="00FF1893" w:rsidRDefault="00FF1893" w:rsidP="00D9593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p>
    <w:p w:rsidR="00C36D9A" w:rsidRDefault="00C36D9A" w:rsidP="00D9593E">
      <w:pPr>
        <w:tabs>
          <w:tab w:val="left" w:pos="126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0021251B" w:rsidRPr="00FF1893">
        <w:rPr>
          <w:rFonts w:eastAsia="Times New Roman" w:cs="Times New Roman"/>
          <w:sz w:val="20"/>
          <w:szCs w:val="20"/>
        </w:rPr>
        <w:t xml:space="preserve"> </w:t>
      </w:r>
      <w:r w:rsidRPr="00FF1893">
        <w:rPr>
          <w:rFonts w:eastAsia="Times New Roman" w:cs="Times New Roman"/>
          <w:sz w:val="20"/>
          <w:szCs w:val="20"/>
        </w:rPr>
        <w:t>(4)(ii)</w:t>
      </w:r>
      <w:r w:rsidRPr="00FF1893">
        <w:rPr>
          <w:rFonts w:eastAsia="Times New Roman" w:cs="Times New Roman"/>
          <w:sz w:val="20"/>
          <w:szCs w:val="20"/>
        </w:rPr>
        <w:tab/>
        <w:t>An individual action on a project of five or more housing units developed on scattered sites when the sites are more than 2,000 feet apart and there are not more than four housing units on any one site. [This section does not apply to rehabilitation of a building for residential use (with one to four units)].</w:t>
      </w:r>
    </w:p>
    <w:p w:rsidR="00FF1893" w:rsidRPr="00FF1893" w:rsidRDefault="00FF1893" w:rsidP="00D9593E">
      <w:pPr>
        <w:tabs>
          <w:tab w:val="left" w:pos="126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p>
    <w:p w:rsidR="00C36D9A" w:rsidRDefault="00C36D9A" w:rsidP="00D9593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0021251B" w:rsidRPr="00FF1893">
        <w:rPr>
          <w:rFonts w:eastAsia="Times New Roman" w:cs="Times New Roman"/>
          <w:sz w:val="20"/>
          <w:szCs w:val="20"/>
        </w:rPr>
        <w:t xml:space="preserve"> </w:t>
      </w:r>
      <w:r w:rsidRPr="00FF1893">
        <w:rPr>
          <w:rFonts w:eastAsia="Times New Roman" w:cs="Times New Roman"/>
          <w:sz w:val="20"/>
          <w:szCs w:val="20"/>
        </w:rPr>
        <w:t>(5)</w:t>
      </w:r>
      <w:r w:rsidRPr="00FF1893">
        <w:rPr>
          <w:rFonts w:eastAsia="Times New Roman" w:cs="Times New Roman"/>
          <w:sz w:val="20"/>
          <w:szCs w:val="20"/>
        </w:rPr>
        <w:tab/>
        <w:t>Acquisition (including leasing) or disposition of, or equity loans on an existing structure, or acquisition (including leasing) of vacant land provided that the structure or land acquired, financed, or disposed of will be retained for the same use.</w:t>
      </w:r>
    </w:p>
    <w:p w:rsidR="00FF1893" w:rsidRPr="00FF1893" w:rsidRDefault="00FF1893" w:rsidP="00D9593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p>
    <w:bookmarkStart w:id="4" w:name="_GoBack"/>
    <w:p w:rsidR="00C36D9A" w:rsidRPr="00FF1893" w:rsidRDefault="00C36D9A" w:rsidP="0021251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800" w:hanging="108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bookmarkEnd w:id="4"/>
      <w:r w:rsidR="0021251B" w:rsidRPr="00FF1893">
        <w:rPr>
          <w:rFonts w:eastAsia="Times New Roman" w:cs="Times New Roman"/>
          <w:sz w:val="20"/>
          <w:szCs w:val="20"/>
        </w:rPr>
        <w:t xml:space="preserve"> </w:t>
      </w:r>
      <w:r w:rsidRPr="00FF1893">
        <w:rPr>
          <w:rFonts w:eastAsia="Times New Roman" w:cs="Times New Roman"/>
          <w:sz w:val="20"/>
          <w:szCs w:val="20"/>
        </w:rPr>
        <w:t>(6)</w:t>
      </w:r>
      <w:r w:rsidRPr="00FF1893">
        <w:rPr>
          <w:rFonts w:eastAsia="Times New Roman" w:cs="Times New Roman"/>
          <w:sz w:val="20"/>
          <w:szCs w:val="20"/>
        </w:rPr>
        <w:tab/>
        <w:t>Combinations of the above activities.</w:t>
      </w:r>
    </w:p>
    <w:p w:rsidR="00FF1893" w:rsidRDefault="00FF1893" w:rsidP="00FF1893">
      <w:pPr>
        <w:rPr>
          <w:rFonts w:eastAsia="Times New Roman" w:cs="Times New Roman"/>
          <w:b/>
          <w:sz w:val="20"/>
          <w:szCs w:val="20"/>
        </w:rPr>
      </w:pPr>
    </w:p>
    <w:p w:rsidR="00471350" w:rsidRPr="00FF1893" w:rsidRDefault="00471350" w:rsidP="00FF1893">
      <w:pPr>
        <w:rPr>
          <w:rFonts w:eastAsia="Times New Roman" w:cs="Times New Roman"/>
          <w:b/>
          <w:sz w:val="20"/>
          <w:szCs w:val="20"/>
        </w:rPr>
      </w:pPr>
      <w:r w:rsidRPr="00FF1893">
        <w:rPr>
          <w:rFonts w:eastAsia="Times New Roman" w:cs="Times New Roman"/>
          <w:b/>
          <w:sz w:val="20"/>
          <w:szCs w:val="20"/>
        </w:rPr>
        <w:t>The following supporting documentation has been completed and is attached.</w:t>
      </w:r>
    </w:p>
    <w:p w:rsidR="00471350" w:rsidRPr="00FF1893" w:rsidRDefault="00471350" w:rsidP="00D9593E">
      <w:pPr>
        <w:tabs>
          <w:tab w:val="left" w:pos="3780"/>
        </w:tabs>
        <w:overflowPunct w:val="0"/>
        <w:autoSpaceDE w:val="0"/>
        <w:autoSpaceDN w:val="0"/>
        <w:adjustRightInd w:val="0"/>
        <w:rPr>
          <w:rFonts w:eastAsia="Times New Roman" w:cs="Times New Roman"/>
          <w:sz w:val="20"/>
          <w:szCs w:val="20"/>
          <w:u w:val="single"/>
        </w:rPr>
      </w:pPr>
    </w:p>
    <w:p w:rsidR="00471350" w:rsidRPr="00FF1893" w:rsidRDefault="00471350" w:rsidP="00D9593E">
      <w:pPr>
        <w:tabs>
          <w:tab w:val="left" w:pos="720"/>
          <w:tab w:val="left" w:pos="3780"/>
        </w:tabs>
        <w:overflowPunct w:val="0"/>
        <w:autoSpaceDE w:val="0"/>
        <w:autoSpaceDN w:val="0"/>
        <w:adjustRightInd w:val="0"/>
        <w:rPr>
          <w:rFonts w:eastAsia="Times New Roman" w:cs="Times New Roman"/>
          <w:sz w:val="20"/>
          <w:szCs w:val="20"/>
          <w:lang w:bidi="en-US"/>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Pr="00FF1893">
        <w:rPr>
          <w:rFonts w:eastAsia="Times New Roman" w:cs="Times New Roman"/>
          <w:sz w:val="20"/>
          <w:szCs w:val="20"/>
        </w:rPr>
        <w:tab/>
      </w:r>
      <w:r w:rsidR="00413789" w:rsidRPr="00FF1893">
        <w:rPr>
          <w:rFonts w:eastAsia="Times New Roman" w:cs="Times New Roman"/>
          <w:sz w:val="20"/>
          <w:szCs w:val="20"/>
          <w:lang w:bidi="en-US"/>
        </w:rPr>
        <w:t>Section 106 State Historic Preservation Office (SHPO) review</w:t>
      </w:r>
    </w:p>
    <w:p w:rsidR="00413789" w:rsidRPr="00FF1893" w:rsidRDefault="00413789" w:rsidP="00D9593E">
      <w:pPr>
        <w:tabs>
          <w:tab w:val="left" w:pos="720"/>
          <w:tab w:val="left" w:pos="3780"/>
        </w:tabs>
        <w:overflowPunct w:val="0"/>
        <w:autoSpaceDE w:val="0"/>
        <w:autoSpaceDN w:val="0"/>
        <w:adjustRightInd w:val="0"/>
        <w:rPr>
          <w:rFonts w:eastAsia="Times New Roman" w:cs="Times New Roman"/>
          <w:sz w:val="20"/>
          <w:szCs w:val="20"/>
          <w:lang w:bidi="en-US"/>
        </w:rPr>
      </w:pPr>
    </w:p>
    <w:p w:rsidR="00413789" w:rsidRPr="00FF1893" w:rsidRDefault="00413789" w:rsidP="00D9593E">
      <w:pPr>
        <w:tabs>
          <w:tab w:val="left" w:pos="720"/>
          <w:tab w:val="left" w:pos="3780"/>
        </w:tabs>
        <w:overflowPunct w:val="0"/>
        <w:autoSpaceDE w:val="0"/>
        <w:autoSpaceDN w:val="0"/>
        <w:adjustRightInd w:val="0"/>
        <w:rPr>
          <w:rFonts w:eastAsia="Times New Roman" w:cs="Times New Roman"/>
          <w:sz w:val="20"/>
          <w:szCs w:val="20"/>
          <w:u w:val="single"/>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Pr="00FF1893">
        <w:rPr>
          <w:rFonts w:eastAsia="Times New Roman" w:cs="Times New Roman"/>
          <w:sz w:val="20"/>
          <w:szCs w:val="20"/>
        </w:rPr>
        <w:tab/>
      </w:r>
      <w:r w:rsidRPr="00FF1893">
        <w:rPr>
          <w:sz w:val="20"/>
          <w:szCs w:val="20"/>
        </w:rPr>
        <w:t>Statutory Checklist (Form 5-F)</w:t>
      </w:r>
    </w:p>
    <w:p w:rsidR="00C36D9A" w:rsidRPr="00FF1893" w:rsidRDefault="00C36D9A" w:rsidP="00D9593E">
      <w:pPr>
        <w:tabs>
          <w:tab w:val="left" w:pos="3780"/>
        </w:tabs>
        <w:overflowPunct w:val="0"/>
        <w:autoSpaceDE w:val="0"/>
        <w:autoSpaceDN w:val="0"/>
        <w:adjustRightInd w:val="0"/>
        <w:rPr>
          <w:rFonts w:eastAsia="Times New Roman" w:cs="Times New Roman"/>
          <w:sz w:val="20"/>
          <w:szCs w:val="20"/>
          <w:u w:val="single"/>
        </w:rPr>
      </w:pPr>
    </w:p>
    <w:p w:rsidR="00C36D9A" w:rsidRPr="00FF1893" w:rsidRDefault="00C36D9A" w:rsidP="00D9593E">
      <w:pPr>
        <w:tabs>
          <w:tab w:val="left" w:pos="3780"/>
        </w:tabs>
        <w:overflowPunct w:val="0"/>
        <w:autoSpaceDE w:val="0"/>
        <w:autoSpaceDN w:val="0"/>
        <w:adjustRightInd w:val="0"/>
        <w:rPr>
          <w:rFonts w:eastAsia="Times New Roman" w:cs="Times New Roman"/>
          <w:sz w:val="20"/>
          <w:szCs w:val="20"/>
          <w:u w:val="single"/>
        </w:rPr>
      </w:pPr>
    </w:p>
    <w:p w:rsidR="00471350" w:rsidRPr="00FF1893" w:rsidRDefault="0021251B" w:rsidP="00D9593E">
      <w:pPr>
        <w:tabs>
          <w:tab w:val="left" w:pos="3780"/>
        </w:tabs>
        <w:overflowPunct w:val="0"/>
        <w:autoSpaceDE w:val="0"/>
        <w:autoSpaceDN w:val="0"/>
        <w:adjustRightInd w:val="0"/>
        <w:rPr>
          <w:rFonts w:eastAsia="Times New Roman" w:cs="Times New Roman"/>
          <w:b/>
          <w:sz w:val="20"/>
          <w:szCs w:val="20"/>
        </w:rPr>
      </w:pPr>
      <w:r w:rsidRPr="00FF1893">
        <w:rPr>
          <w:rFonts w:eastAsia="Times New Roman" w:cs="Times New Roman"/>
          <w:b/>
          <w:sz w:val="20"/>
          <w:szCs w:val="20"/>
        </w:rPr>
        <w:t>DETERMINATION</w:t>
      </w:r>
    </w:p>
    <w:p w:rsidR="00471350" w:rsidRPr="00FF1893" w:rsidRDefault="00471350" w:rsidP="00D9593E">
      <w:pPr>
        <w:tabs>
          <w:tab w:val="left" w:pos="3780"/>
        </w:tabs>
        <w:overflowPunct w:val="0"/>
        <w:autoSpaceDE w:val="0"/>
        <w:autoSpaceDN w:val="0"/>
        <w:adjustRightInd w:val="0"/>
        <w:rPr>
          <w:rFonts w:eastAsia="Times New Roman" w:cs="Times New Roman"/>
          <w:sz w:val="20"/>
          <w:szCs w:val="20"/>
          <w:u w:val="single"/>
        </w:rPr>
      </w:pPr>
    </w:p>
    <w:p w:rsidR="00471350" w:rsidRPr="00FF1893" w:rsidRDefault="00471350" w:rsidP="00D9593E">
      <w:pPr>
        <w:tabs>
          <w:tab w:val="left" w:pos="1800"/>
          <w:tab w:val="left" w:pos="3780"/>
        </w:tabs>
        <w:overflowPunct w:val="0"/>
        <w:autoSpaceDE w:val="0"/>
        <w:autoSpaceDN w:val="0"/>
        <w:adjustRightInd w:val="0"/>
        <w:ind w:left="720" w:hanging="72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Pr="00FF1893">
        <w:rPr>
          <w:rFonts w:eastAsia="Times New Roman" w:cs="Times New Roman"/>
          <w:sz w:val="20"/>
          <w:szCs w:val="20"/>
        </w:rPr>
        <w:tab/>
        <w:t xml:space="preserve">This project </w:t>
      </w:r>
      <w:r w:rsidRPr="00FF1893">
        <w:rPr>
          <w:rFonts w:eastAsia="Times New Roman" w:cs="Times New Roman"/>
          <w:b/>
          <w:sz w:val="20"/>
          <w:szCs w:val="20"/>
        </w:rPr>
        <w:t>converts to Exempt</w:t>
      </w:r>
      <w:r w:rsidRPr="00FF1893">
        <w:rPr>
          <w:rFonts w:eastAsia="Times New Roman" w:cs="Times New Roman"/>
          <w:sz w:val="20"/>
          <w:szCs w:val="20"/>
        </w:rPr>
        <w:t>, per Section 58.34(a)(12) , because it does not require any mitigation for compliance with any listed statutes or authorities , nor requires any formal permit or license; This (now) EXEMPT project may now be initiated; OR</w:t>
      </w:r>
    </w:p>
    <w:p w:rsidR="00471350" w:rsidRPr="00FF1893" w:rsidRDefault="00471350" w:rsidP="00D9593E">
      <w:pPr>
        <w:tabs>
          <w:tab w:val="left" w:pos="3780"/>
        </w:tabs>
        <w:overflowPunct w:val="0"/>
        <w:autoSpaceDE w:val="0"/>
        <w:autoSpaceDN w:val="0"/>
        <w:adjustRightInd w:val="0"/>
        <w:jc w:val="both"/>
        <w:rPr>
          <w:rFonts w:eastAsia="Times New Roman" w:cs="Times New Roman"/>
          <w:sz w:val="20"/>
          <w:szCs w:val="20"/>
        </w:rPr>
      </w:pPr>
    </w:p>
    <w:p w:rsidR="00471350" w:rsidRPr="00FF1893" w:rsidRDefault="00471350" w:rsidP="00D9593E">
      <w:pPr>
        <w:tabs>
          <w:tab w:val="left" w:pos="720"/>
          <w:tab w:val="left" w:pos="3780"/>
        </w:tabs>
        <w:overflowPunct w:val="0"/>
        <w:autoSpaceDE w:val="0"/>
        <w:autoSpaceDN w:val="0"/>
        <w:adjustRightInd w:val="0"/>
        <w:ind w:left="720" w:hanging="72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Pr="00FF1893">
        <w:rPr>
          <w:rFonts w:eastAsia="Times New Roman" w:cs="Times New Roman"/>
          <w:sz w:val="20"/>
          <w:szCs w:val="20"/>
        </w:rPr>
        <w:tab/>
        <w:t xml:space="preserve">This project </w:t>
      </w:r>
      <w:r w:rsidR="000F1450" w:rsidRPr="00FF1893">
        <w:rPr>
          <w:rFonts w:eastAsia="Times New Roman" w:cs="Times New Roman"/>
          <w:b/>
          <w:sz w:val="20"/>
          <w:szCs w:val="20"/>
        </w:rPr>
        <w:t>CANNOT</w:t>
      </w:r>
      <w:r w:rsidRPr="00FF1893">
        <w:rPr>
          <w:rFonts w:eastAsia="Times New Roman" w:cs="Times New Roman"/>
          <w:b/>
          <w:sz w:val="20"/>
          <w:szCs w:val="20"/>
        </w:rPr>
        <w:t xml:space="preserve"> convert to Exempt</w:t>
      </w:r>
      <w:r w:rsidRPr="00FF1893">
        <w:rPr>
          <w:rFonts w:eastAsia="Times New Roman" w:cs="Times New Roman"/>
          <w:sz w:val="20"/>
          <w:szCs w:val="20"/>
        </w:rPr>
        <w:t xml:space="preserve"> because one or more statutes/authorities require consultation or mitigation. </w:t>
      </w:r>
      <w:r w:rsidR="000F1450" w:rsidRPr="00FF1893">
        <w:rPr>
          <w:rFonts w:eastAsia="Times New Roman" w:cs="Times New Roman"/>
          <w:sz w:val="20"/>
          <w:szCs w:val="20"/>
        </w:rPr>
        <w:t xml:space="preserve"> </w:t>
      </w:r>
      <w:r w:rsidRPr="00FF1893">
        <w:rPr>
          <w:rFonts w:eastAsia="Times New Roman" w:cs="Times New Roman"/>
          <w:sz w:val="20"/>
          <w:szCs w:val="20"/>
        </w:rPr>
        <w:t xml:space="preserve">Complete consultation/mitigation requirements, publish NOI/RROF and obtain Authority to Use Grant Funds </w:t>
      </w:r>
      <w:r w:rsidR="00062541" w:rsidRPr="00FF1893">
        <w:rPr>
          <w:rFonts w:eastAsia="Times New Roman" w:cs="Times New Roman"/>
          <w:sz w:val="20"/>
          <w:szCs w:val="20"/>
        </w:rPr>
        <w:t>from MEDC</w:t>
      </w:r>
      <w:r w:rsidRPr="00FF1893">
        <w:rPr>
          <w:rFonts w:eastAsia="Times New Roman" w:cs="Times New Roman"/>
          <w:sz w:val="20"/>
          <w:szCs w:val="20"/>
        </w:rPr>
        <w:t xml:space="preserve"> before initiating the project; OR </w:t>
      </w:r>
    </w:p>
    <w:p w:rsidR="00471350" w:rsidRPr="00FF1893" w:rsidRDefault="00471350" w:rsidP="00D9593E">
      <w:pPr>
        <w:tabs>
          <w:tab w:val="left" w:pos="3780"/>
        </w:tabs>
        <w:overflowPunct w:val="0"/>
        <w:autoSpaceDE w:val="0"/>
        <w:autoSpaceDN w:val="0"/>
        <w:adjustRightInd w:val="0"/>
        <w:jc w:val="both"/>
        <w:rPr>
          <w:rFonts w:eastAsia="Times New Roman" w:cs="Times New Roman"/>
          <w:sz w:val="20"/>
          <w:szCs w:val="20"/>
        </w:rPr>
      </w:pPr>
    </w:p>
    <w:p w:rsidR="00471350" w:rsidRPr="00FF1893" w:rsidRDefault="00471350" w:rsidP="00D9593E">
      <w:pPr>
        <w:tabs>
          <w:tab w:val="left" w:pos="720"/>
          <w:tab w:val="left" w:pos="3780"/>
        </w:tabs>
        <w:overflowPunct w:val="0"/>
        <w:autoSpaceDE w:val="0"/>
        <w:autoSpaceDN w:val="0"/>
        <w:adjustRightInd w:val="0"/>
        <w:ind w:left="720" w:hanging="720"/>
        <w:jc w:val="both"/>
        <w:rPr>
          <w:rFonts w:eastAsia="Times New Roman" w:cs="Times New Roman"/>
          <w:sz w:val="20"/>
          <w:szCs w:val="20"/>
        </w:rPr>
      </w:pPr>
      <w:r w:rsidRPr="00FF1893">
        <w:rPr>
          <w:rFonts w:eastAsia="Times New Roman" w:cs="Times New Roman"/>
          <w:sz w:val="20"/>
          <w:szCs w:val="20"/>
        </w:rPr>
        <w:fldChar w:fldCharType="begin">
          <w:ffData>
            <w:name w:val="Check1"/>
            <w:enabled/>
            <w:calcOnExit w:val="0"/>
            <w:checkBox>
              <w:sizeAuto/>
              <w:default w:val="0"/>
            </w:checkBox>
          </w:ffData>
        </w:fldChar>
      </w:r>
      <w:r w:rsidRPr="00FF1893">
        <w:rPr>
          <w:rFonts w:eastAsia="Times New Roman" w:cs="Times New Roman"/>
          <w:sz w:val="20"/>
          <w:szCs w:val="20"/>
        </w:rPr>
        <w:instrText xml:space="preserve"> FORMCHECKBOX </w:instrText>
      </w:r>
      <w:r w:rsidR="00D87081">
        <w:rPr>
          <w:rFonts w:eastAsia="Times New Roman" w:cs="Times New Roman"/>
          <w:sz w:val="20"/>
          <w:szCs w:val="20"/>
        </w:rPr>
      </w:r>
      <w:r w:rsidR="00D87081">
        <w:rPr>
          <w:rFonts w:eastAsia="Times New Roman" w:cs="Times New Roman"/>
          <w:sz w:val="20"/>
          <w:szCs w:val="20"/>
        </w:rPr>
        <w:fldChar w:fldCharType="separate"/>
      </w:r>
      <w:r w:rsidRPr="00FF1893">
        <w:rPr>
          <w:rFonts w:eastAsia="Times New Roman" w:cs="Times New Roman"/>
          <w:sz w:val="20"/>
          <w:szCs w:val="20"/>
        </w:rPr>
        <w:fldChar w:fldCharType="end"/>
      </w:r>
      <w:r w:rsidRPr="00FF1893">
        <w:rPr>
          <w:rFonts w:eastAsia="Times New Roman" w:cs="Times New Roman"/>
          <w:sz w:val="20"/>
          <w:szCs w:val="20"/>
        </w:rPr>
        <w:tab/>
        <w:t xml:space="preserve">The unusual circumstances of this project may result in a significant environmental impact. This project requires preparation of an </w:t>
      </w:r>
      <w:r w:rsidRPr="00FF1893">
        <w:rPr>
          <w:rFonts w:eastAsia="Times New Roman" w:cs="Times New Roman"/>
          <w:b/>
          <w:sz w:val="20"/>
          <w:szCs w:val="20"/>
        </w:rPr>
        <w:t>Environmental Assessment</w:t>
      </w:r>
      <w:r w:rsidRPr="00FF1893">
        <w:rPr>
          <w:rFonts w:eastAsia="Times New Roman" w:cs="Times New Roman"/>
          <w:sz w:val="20"/>
          <w:szCs w:val="20"/>
        </w:rPr>
        <w:t xml:space="preserve"> (EA). Prepare the EA according to 24 CFR Part 58 Subpart E.</w:t>
      </w:r>
    </w:p>
    <w:p w:rsidR="00471350" w:rsidRPr="00FF1893" w:rsidRDefault="00471350" w:rsidP="00D9593E">
      <w:pPr>
        <w:tabs>
          <w:tab w:val="left" w:pos="3780"/>
        </w:tabs>
        <w:overflowPunct w:val="0"/>
        <w:autoSpaceDE w:val="0"/>
        <w:autoSpaceDN w:val="0"/>
        <w:adjustRightInd w:val="0"/>
        <w:rPr>
          <w:rFonts w:eastAsia="Times New Roman" w:cs="Times New Roman"/>
          <w:sz w:val="20"/>
          <w:szCs w:val="20"/>
          <w:u w:val="single"/>
        </w:rPr>
      </w:pPr>
    </w:p>
    <w:p w:rsidR="0021251B" w:rsidRPr="00FF1893" w:rsidRDefault="0021251B" w:rsidP="00D9593E">
      <w:pPr>
        <w:tabs>
          <w:tab w:val="left" w:pos="3780"/>
        </w:tabs>
        <w:overflowPunct w:val="0"/>
        <w:autoSpaceDE w:val="0"/>
        <w:autoSpaceDN w:val="0"/>
        <w:adjustRightInd w:val="0"/>
        <w:rPr>
          <w:rFonts w:eastAsia="Times New Roman" w:cs="Times New Roman"/>
          <w:sz w:val="20"/>
          <w:szCs w:val="20"/>
          <w:u w:val="single"/>
        </w:rPr>
      </w:pPr>
    </w:p>
    <w:p w:rsidR="00C36D9A" w:rsidRPr="00FF1893" w:rsidRDefault="00C36D9A" w:rsidP="00D9593E">
      <w:pPr>
        <w:tabs>
          <w:tab w:val="left" w:pos="3780"/>
        </w:tabs>
        <w:overflowPunct w:val="0"/>
        <w:autoSpaceDE w:val="0"/>
        <w:autoSpaceDN w:val="0"/>
        <w:adjustRightInd w:val="0"/>
        <w:rPr>
          <w:rFonts w:eastAsia="Times New Roman" w:cs="Times New Roman"/>
          <w:sz w:val="20"/>
          <w:szCs w:val="20"/>
          <w:u w:val="single"/>
        </w:rPr>
      </w:pPr>
      <w:r w:rsidRPr="00FF1893">
        <w:rPr>
          <w:rFonts w:eastAsia="Times New Roman" w:cs="Times New Roman"/>
          <w:sz w:val="20"/>
          <w:szCs w:val="20"/>
          <w:u w:val="single"/>
        </w:rPr>
        <w:tab/>
        <w:t xml:space="preserve"> </w:t>
      </w:r>
      <w:r w:rsidRPr="00FF1893">
        <w:rPr>
          <w:rFonts w:eastAsia="Times New Roman" w:cs="Times New Roman"/>
          <w:sz w:val="20"/>
          <w:szCs w:val="20"/>
        </w:rPr>
        <w:tab/>
      </w:r>
      <w:r w:rsidRPr="00FF1893">
        <w:rPr>
          <w:rFonts w:eastAsia="Times New Roman" w:cs="Times New Roman"/>
          <w:sz w:val="20"/>
          <w:szCs w:val="20"/>
          <w:u w:val="single"/>
        </w:rPr>
        <w:tab/>
      </w:r>
      <w:r w:rsidRPr="00FF1893">
        <w:rPr>
          <w:rFonts w:eastAsia="Times New Roman" w:cs="Times New Roman"/>
          <w:sz w:val="20"/>
          <w:szCs w:val="20"/>
          <w:u w:val="single"/>
        </w:rPr>
        <w:tab/>
      </w:r>
      <w:r w:rsidRPr="00FF1893">
        <w:rPr>
          <w:rFonts w:eastAsia="Times New Roman" w:cs="Times New Roman"/>
          <w:sz w:val="20"/>
          <w:szCs w:val="20"/>
          <w:u w:val="single"/>
        </w:rPr>
        <w:tab/>
      </w:r>
      <w:r w:rsidRPr="00FF1893">
        <w:rPr>
          <w:rFonts w:eastAsia="Times New Roman" w:cs="Times New Roman"/>
          <w:sz w:val="20"/>
          <w:szCs w:val="20"/>
          <w:u w:val="single"/>
        </w:rPr>
        <w:tab/>
      </w:r>
      <w:r w:rsidRPr="00FF1893">
        <w:rPr>
          <w:rFonts w:eastAsia="Times New Roman" w:cs="Times New Roman"/>
          <w:sz w:val="20"/>
          <w:szCs w:val="20"/>
        </w:rPr>
        <w:tab/>
      </w:r>
      <w:r w:rsidRPr="00FF1893">
        <w:rPr>
          <w:rFonts w:eastAsia="Times New Roman" w:cs="Times New Roman"/>
          <w:sz w:val="20"/>
          <w:szCs w:val="20"/>
          <w:u w:val="single"/>
        </w:rPr>
        <w:tab/>
      </w:r>
      <w:r w:rsidRPr="00FF1893">
        <w:rPr>
          <w:rFonts w:eastAsia="Times New Roman" w:cs="Times New Roman"/>
          <w:sz w:val="20"/>
          <w:szCs w:val="20"/>
          <w:u w:val="single"/>
        </w:rPr>
        <w:tab/>
      </w:r>
    </w:p>
    <w:p w:rsidR="00C36D9A" w:rsidRPr="00FF1893" w:rsidRDefault="00C36D9A" w:rsidP="00D95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r w:rsidRPr="00FF1893">
        <w:rPr>
          <w:rFonts w:eastAsia="Times New Roman" w:cs="Times New Roman"/>
          <w:sz w:val="20"/>
          <w:szCs w:val="20"/>
        </w:rPr>
        <w:t>Name and Title of Certifying Officer</w:t>
      </w:r>
      <w:r w:rsidRPr="00FF1893">
        <w:rPr>
          <w:rFonts w:eastAsia="Times New Roman" w:cs="Times New Roman"/>
          <w:sz w:val="20"/>
          <w:szCs w:val="20"/>
        </w:rPr>
        <w:tab/>
      </w:r>
      <w:r w:rsidRPr="00FF1893">
        <w:rPr>
          <w:rFonts w:eastAsia="Times New Roman" w:cs="Times New Roman"/>
          <w:sz w:val="20"/>
          <w:szCs w:val="20"/>
        </w:rPr>
        <w:tab/>
      </w:r>
      <w:r w:rsidR="00FF1893">
        <w:rPr>
          <w:rFonts w:eastAsia="Times New Roman" w:cs="Times New Roman"/>
          <w:sz w:val="20"/>
          <w:szCs w:val="20"/>
        </w:rPr>
        <w:tab/>
      </w:r>
      <w:r w:rsidRPr="00FF1893">
        <w:rPr>
          <w:rFonts w:eastAsia="Times New Roman" w:cs="Times New Roman"/>
          <w:sz w:val="20"/>
          <w:szCs w:val="20"/>
        </w:rPr>
        <w:t>Signature of Certifying Officer</w:t>
      </w:r>
      <w:r w:rsidRPr="00FF1893">
        <w:rPr>
          <w:rFonts w:eastAsia="Times New Roman" w:cs="Times New Roman"/>
          <w:sz w:val="20"/>
          <w:szCs w:val="20"/>
        </w:rPr>
        <w:tab/>
      </w:r>
      <w:r w:rsidRPr="00FF1893">
        <w:rPr>
          <w:rFonts w:eastAsia="Times New Roman" w:cs="Times New Roman"/>
          <w:sz w:val="20"/>
          <w:szCs w:val="20"/>
        </w:rPr>
        <w:tab/>
        <w:t>Date</w:t>
      </w:r>
    </w:p>
    <w:p w:rsidR="0021251B" w:rsidRPr="00FF1893" w:rsidRDefault="0021251B" w:rsidP="00D95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p w:rsidR="0021251B" w:rsidRPr="00FF1893" w:rsidRDefault="0021251B" w:rsidP="00D95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p w:rsidR="00C36D9A" w:rsidRPr="00FF1893" w:rsidRDefault="00C36D9A" w:rsidP="00D9593E">
      <w:pPr>
        <w:tabs>
          <w:tab w:val="left" w:pos="3780"/>
        </w:tabs>
        <w:overflowPunct w:val="0"/>
        <w:autoSpaceDE w:val="0"/>
        <w:autoSpaceDN w:val="0"/>
        <w:adjustRightInd w:val="0"/>
        <w:rPr>
          <w:rFonts w:eastAsia="Times New Roman" w:cs="Times New Roman"/>
          <w:sz w:val="20"/>
          <w:szCs w:val="20"/>
        </w:rPr>
      </w:pPr>
      <w:r w:rsidRPr="00FF1893">
        <w:rPr>
          <w:rFonts w:eastAsia="Times New Roman" w:cs="Times New Roman"/>
          <w:sz w:val="20"/>
          <w:szCs w:val="20"/>
          <w:u w:val="single"/>
        </w:rPr>
        <w:tab/>
        <w:t xml:space="preserve"> </w:t>
      </w:r>
      <w:r w:rsidRPr="00FF1893">
        <w:rPr>
          <w:rFonts w:eastAsia="Times New Roman" w:cs="Times New Roman"/>
          <w:sz w:val="20"/>
          <w:szCs w:val="20"/>
        </w:rPr>
        <w:tab/>
      </w:r>
      <w:r w:rsidRPr="00FF1893">
        <w:rPr>
          <w:rFonts w:eastAsia="Times New Roman" w:cs="Times New Roman"/>
          <w:sz w:val="20"/>
          <w:szCs w:val="20"/>
          <w:u w:val="single"/>
        </w:rPr>
        <w:tab/>
      </w:r>
      <w:r w:rsidRPr="00FF1893">
        <w:rPr>
          <w:rFonts w:eastAsia="Times New Roman" w:cs="Times New Roman"/>
          <w:sz w:val="20"/>
          <w:szCs w:val="20"/>
          <w:u w:val="single"/>
        </w:rPr>
        <w:tab/>
      </w:r>
      <w:r w:rsidRPr="00FF1893">
        <w:rPr>
          <w:rFonts w:eastAsia="Times New Roman" w:cs="Times New Roman"/>
          <w:sz w:val="20"/>
          <w:szCs w:val="20"/>
          <w:u w:val="single"/>
        </w:rPr>
        <w:tab/>
      </w:r>
      <w:r w:rsidRPr="00FF1893">
        <w:rPr>
          <w:rFonts w:eastAsia="Times New Roman" w:cs="Times New Roman"/>
          <w:sz w:val="20"/>
          <w:szCs w:val="20"/>
          <w:u w:val="single"/>
        </w:rPr>
        <w:tab/>
      </w:r>
    </w:p>
    <w:p w:rsidR="00C36D9A" w:rsidRPr="00FF1893" w:rsidRDefault="00C36D9A" w:rsidP="00212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r w:rsidRPr="00FF1893">
        <w:rPr>
          <w:rFonts w:eastAsia="Times New Roman" w:cs="Times New Roman"/>
          <w:sz w:val="20"/>
          <w:szCs w:val="20"/>
        </w:rPr>
        <w:t>Name of person preparing this form</w:t>
      </w:r>
      <w:r w:rsidRPr="00FF1893">
        <w:rPr>
          <w:rFonts w:eastAsia="Times New Roman" w:cs="Times New Roman"/>
          <w:sz w:val="20"/>
          <w:szCs w:val="20"/>
        </w:rPr>
        <w:tab/>
      </w:r>
      <w:r w:rsidRPr="00FF1893">
        <w:rPr>
          <w:rFonts w:eastAsia="Times New Roman" w:cs="Times New Roman"/>
          <w:sz w:val="20"/>
          <w:szCs w:val="20"/>
        </w:rPr>
        <w:tab/>
        <w:t>Phone #</w:t>
      </w:r>
    </w:p>
    <w:p w:rsidR="0021251B" w:rsidRPr="00FF1893" w:rsidRDefault="0021251B" w:rsidP="00212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p w:rsidR="0021251B" w:rsidRPr="00FF1893" w:rsidRDefault="0021251B" w:rsidP="00212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tbl>
      <w:tblPr>
        <w:tblW w:w="95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96"/>
        <w:gridCol w:w="2070"/>
        <w:gridCol w:w="1818"/>
        <w:gridCol w:w="8"/>
      </w:tblGrid>
      <w:tr w:rsidR="00C36D9A" w:rsidRPr="00FF1893" w:rsidTr="0021251B">
        <w:trPr>
          <w:gridAfter w:val="1"/>
          <w:wAfter w:w="8" w:type="dxa"/>
        </w:trPr>
        <w:tc>
          <w:tcPr>
            <w:tcW w:w="5696" w:type="dxa"/>
            <w:tcBorders>
              <w:top w:val="single" w:sz="6" w:space="0" w:color="auto"/>
              <w:left w:val="single" w:sz="6" w:space="0" w:color="auto"/>
              <w:bottom w:val="single" w:sz="6" w:space="0" w:color="auto"/>
              <w:right w:val="single" w:sz="6" w:space="0" w:color="auto"/>
            </w:tcBorders>
            <w:shd w:val="pct5" w:color="auto" w:fill="auto"/>
            <w:hideMark/>
          </w:tcPr>
          <w:p w:rsidR="00C36D9A" w:rsidRPr="00FF1893" w:rsidRDefault="00C36D9A" w:rsidP="00D9593E">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b/>
                <w:sz w:val="20"/>
                <w:szCs w:val="20"/>
              </w:rPr>
            </w:pPr>
            <w:r w:rsidRPr="00FF1893">
              <w:rPr>
                <w:rFonts w:eastAsia="Times New Roman" w:cs="Times New Roman"/>
                <w:b/>
                <w:sz w:val="20"/>
                <w:szCs w:val="20"/>
              </w:rPr>
              <w:t>For State Use Only</w:t>
            </w:r>
          </w:p>
        </w:tc>
        <w:tc>
          <w:tcPr>
            <w:tcW w:w="2070" w:type="dxa"/>
            <w:tcBorders>
              <w:top w:val="single" w:sz="6" w:space="0" w:color="auto"/>
              <w:left w:val="single" w:sz="6" w:space="0" w:color="auto"/>
              <w:bottom w:val="single" w:sz="6" w:space="0" w:color="auto"/>
              <w:right w:val="single" w:sz="6" w:space="0" w:color="auto"/>
            </w:tcBorders>
            <w:shd w:val="pct5" w:color="auto" w:fill="auto"/>
            <w:hideMark/>
          </w:tcPr>
          <w:p w:rsidR="00C36D9A" w:rsidRPr="00FF1893" w:rsidRDefault="00C36D9A" w:rsidP="00D9593E">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b/>
                <w:sz w:val="20"/>
                <w:szCs w:val="20"/>
              </w:rPr>
            </w:pPr>
            <w:r w:rsidRPr="00FF1893">
              <w:rPr>
                <w:rFonts w:eastAsia="Times New Roman" w:cs="Times New Roman"/>
                <w:b/>
                <w:sz w:val="20"/>
                <w:szCs w:val="20"/>
              </w:rPr>
              <w:t>Reviewed</w:t>
            </w:r>
          </w:p>
        </w:tc>
        <w:tc>
          <w:tcPr>
            <w:tcW w:w="1818" w:type="dxa"/>
            <w:tcBorders>
              <w:top w:val="single" w:sz="6" w:space="0" w:color="auto"/>
              <w:left w:val="single" w:sz="6" w:space="0" w:color="auto"/>
              <w:bottom w:val="single" w:sz="6" w:space="0" w:color="auto"/>
              <w:right w:val="single" w:sz="6" w:space="0" w:color="auto"/>
            </w:tcBorders>
            <w:shd w:val="pct5" w:color="auto" w:fill="auto"/>
            <w:hideMark/>
          </w:tcPr>
          <w:p w:rsidR="00C36D9A" w:rsidRPr="00FF1893" w:rsidRDefault="00C36D9A" w:rsidP="00D9593E">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b/>
                <w:sz w:val="20"/>
                <w:szCs w:val="20"/>
              </w:rPr>
            </w:pPr>
            <w:r w:rsidRPr="00FF1893">
              <w:rPr>
                <w:rFonts w:eastAsia="Times New Roman" w:cs="Times New Roman"/>
                <w:b/>
                <w:sz w:val="20"/>
                <w:szCs w:val="20"/>
              </w:rPr>
              <w:t>Date</w:t>
            </w:r>
          </w:p>
        </w:tc>
      </w:tr>
      <w:tr w:rsidR="00C36D9A" w:rsidRPr="00FF1893" w:rsidTr="0021251B">
        <w:trPr>
          <w:trHeight w:val="480"/>
        </w:trPr>
        <w:tc>
          <w:tcPr>
            <w:tcW w:w="5696" w:type="dxa"/>
            <w:tcBorders>
              <w:top w:val="single" w:sz="6" w:space="0" w:color="auto"/>
              <w:left w:val="single" w:sz="6" w:space="0" w:color="auto"/>
              <w:bottom w:val="single" w:sz="6" w:space="0" w:color="auto"/>
              <w:right w:val="single" w:sz="6" w:space="0" w:color="auto"/>
            </w:tcBorders>
            <w:hideMark/>
          </w:tcPr>
          <w:p w:rsidR="00C36D9A" w:rsidRPr="00FF1893" w:rsidRDefault="00C36D9A" w:rsidP="00D9593E">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r w:rsidRPr="00FF1893">
              <w:rPr>
                <w:rFonts w:eastAsia="Times New Roman" w:cs="Times New Roman"/>
                <w:sz w:val="20"/>
                <w:szCs w:val="20"/>
              </w:rPr>
              <w:t>Compliance Specialist</w:t>
            </w:r>
          </w:p>
        </w:tc>
        <w:tc>
          <w:tcPr>
            <w:tcW w:w="2070" w:type="dxa"/>
            <w:tcBorders>
              <w:top w:val="single" w:sz="6" w:space="0" w:color="auto"/>
              <w:left w:val="single" w:sz="6" w:space="0" w:color="auto"/>
              <w:bottom w:val="single" w:sz="6" w:space="0" w:color="auto"/>
              <w:right w:val="single" w:sz="6" w:space="0" w:color="auto"/>
            </w:tcBorders>
          </w:tcPr>
          <w:p w:rsidR="00C36D9A" w:rsidRPr="00FF1893" w:rsidRDefault="00C36D9A" w:rsidP="00D9593E">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tc>
        <w:tc>
          <w:tcPr>
            <w:tcW w:w="1826" w:type="dxa"/>
            <w:gridSpan w:val="2"/>
            <w:tcBorders>
              <w:top w:val="single" w:sz="6" w:space="0" w:color="auto"/>
              <w:left w:val="single" w:sz="6" w:space="0" w:color="auto"/>
              <w:bottom w:val="single" w:sz="6" w:space="0" w:color="auto"/>
              <w:right w:val="single" w:sz="6" w:space="0" w:color="auto"/>
            </w:tcBorders>
          </w:tcPr>
          <w:p w:rsidR="00C36D9A" w:rsidRPr="00FF1893" w:rsidRDefault="00C36D9A" w:rsidP="00D9593E">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tc>
      </w:tr>
    </w:tbl>
    <w:p w:rsidR="00C36D9A" w:rsidRPr="00FF1893" w:rsidRDefault="00C36D9A" w:rsidP="00D95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eastAsia="Times New Roman" w:cs="Times New Roman"/>
          <w:sz w:val="20"/>
          <w:szCs w:val="20"/>
        </w:rPr>
      </w:pPr>
    </w:p>
    <w:p w:rsidR="00C36D9A" w:rsidRPr="00FF1893" w:rsidRDefault="00C36D9A" w:rsidP="00D9593E">
      <w:pPr>
        <w:tabs>
          <w:tab w:val="left" w:pos="288"/>
          <w:tab w:val="left" w:pos="1152"/>
          <w:tab w:val="left" w:pos="1440"/>
          <w:tab w:val="left" w:pos="9072"/>
        </w:tabs>
        <w:suppressAutoHyphens/>
        <w:overflowPunct w:val="0"/>
        <w:autoSpaceDE w:val="0"/>
        <w:autoSpaceDN w:val="0"/>
        <w:adjustRightInd w:val="0"/>
        <w:rPr>
          <w:rFonts w:eastAsia="Times New Roman" w:cs="Times New Roman"/>
          <w:sz w:val="20"/>
          <w:szCs w:val="20"/>
        </w:rPr>
      </w:pPr>
    </w:p>
    <w:p w:rsidR="003A139D" w:rsidRPr="00FF1893" w:rsidRDefault="003A139D" w:rsidP="00D9593E">
      <w:pPr>
        <w:rPr>
          <w:sz w:val="20"/>
          <w:szCs w:val="20"/>
        </w:rPr>
      </w:pPr>
    </w:p>
    <w:sectPr w:rsidR="003A139D" w:rsidRPr="00FF18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81" w:rsidRDefault="00D87081" w:rsidP="003A139D">
      <w:r>
        <w:separator/>
      </w:r>
    </w:p>
  </w:endnote>
  <w:endnote w:type="continuationSeparator" w:id="0">
    <w:p w:rsidR="00D87081" w:rsidRDefault="00D87081" w:rsidP="003A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3E" w:rsidRPr="00FF1893" w:rsidRDefault="00D9593E" w:rsidP="00D9593E">
    <w:pPr>
      <w:pStyle w:val="Footer"/>
      <w:pBdr>
        <w:bottom w:val="single" w:sz="6" w:space="1" w:color="auto"/>
      </w:pBdr>
      <w:rPr>
        <w:rFonts w:ascii="Calibri Light" w:hAnsi="Calibri Light"/>
        <w:sz w:val="18"/>
      </w:rPr>
    </w:pPr>
  </w:p>
  <w:p w:rsidR="00D9593E" w:rsidRPr="00FF1893" w:rsidRDefault="00FF45FE" w:rsidP="00D9593E">
    <w:pPr>
      <w:pStyle w:val="Footer"/>
      <w:rPr>
        <w:rFonts w:ascii="Calibri Light" w:hAnsi="Calibri Light"/>
        <w:sz w:val="18"/>
      </w:rPr>
    </w:pPr>
    <w:r w:rsidRPr="00FF1893">
      <w:rPr>
        <w:rFonts w:ascii="Calibri Light" w:hAnsi="Calibri Light"/>
        <w:sz w:val="18"/>
      </w:rPr>
      <w:t>5-D FINDING OF CATEGORICAL EXCLUSION SUBJECT TO 58.5</w:t>
    </w:r>
    <w:r w:rsidRPr="00FF1893">
      <w:rPr>
        <w:rFonts w:ascii="Calibri Light" w:hAnsi="Calibri Light"/>
        <w:sz w:val="18"/>
      </w:rPr>
      <w:tab/>
    </w:r>
    <w:r w:rsidRPr="00FF1893">
      <w:rPr>
        <w:rFonts w:ascii="Calibri Light" w:hAnsi="Calibri Light"/>
        <w:sz w:val="18"/>
      </w:rPr>
      <w:tab/>
      <w:t>03/2014</w:t>
    </w:r>
  </w:p>
  <w:p w:rsidR="003A139D" w:rsidRPr="00FF1893" w:rsidRDefault="00D9593E" w:rsidP="00D9593E">
    <w:pPr>
      <w:pStyle w:val="Footer"/>
      <w:jc w:val="center"/>
      <w:rPr>
        <w:rFonts w:ascii="Calibri Light" w:hAnsi="Calibri Light"/>
        <w:sz w:val="18"/>
      </w:rPr>
    </w:pPr>
    <w:r w:rsidRPr="00FF1893">
      <w:rPr>
        <w:rFonts w:ascii="Calibri Light" w:hAnsi="Calibri Light"/>
        <w:sz w:val="18"/>
      </w:rPr>
      <w:fldChar w:fldCharType="begin"/>
    </w:r>
    <w:r w:rsidRPr="00FF1893">
      <w:rPr>
        <w:rFonts w:ascii="Calibri Light" w:hAnsi="Calibri Light"/>
        <w:sz w:val="18"/>
      </w:rPr>
      <w:instrText xml:space="preserve"> PAGE   \* MERGEFORMAT </w:instrText>
    </w:r>
    <w:r w:rsidRPr="00FF1893">
      <w:rPr>
        <w:rFonts w:ascii="Calibri Light" w:hAnsi="Calibri Light"/>
        <w:sz w:val="18"/>
      </w:rPr>
      <w:fldChar w:fldCharType="separate"/>
    </w:r>
    <w:r w:rsidR="00420E48">
      <w:rPr>
        <w:rFonts w:ascii="Calibri Light" w:hAnsi="Calibri Light"/>
        <w:noProof/>
        <w:sz w:val="18"/>
      </w:rPr>
      <w:t>1</w:t>
    </w:r>
    <w:r w:rsidRPr="00FF1893">
      <w:rPr>
        <w:rFonts w:ascii="Calibri Light" w:hAnsi="Calibri Light"/>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81" w:rsidRDefault="00D87081" w:rsidP="003A139D">
      <w:r>
        <w:separator/>
      </w:r>
    </w:p>
  </w:footnote>
  <w:footnote w:type="continuationSeparator" w:id="0">
    <w:p w:rsidR="00D87081" w:rsidRDefault="00D87081" w:rsidP="003A1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93" w:rsidRPr="00FF1893" w:rsidRDefault="00FF1893" w:rsidP="00FF1893">
    <w:pPr>
      <w:pBdr>
        <w:bottom w:val="single" w:sz="2" w:space="1" w:color="auto"/>
      </w:pBdr>
      <w:tabs>
        <w:tab w:val="center" w:pos="4680"/>
        <w:tab w:val="right" w:pos="9360"/>
      </w:tabs>
      <w:rPr>
        <w:rFonts w:ascii="Calibri Light" w:hAnsi="Calibri Light"/>
        <w:color w:val="000000" w:themeColor="text1"/>
        <w:sz w:val="18"/>
      </w:rPr>
    </w:pPr>
    <w:r w:rsidRPr="00FF1893">
      <w:rPr>
        <w:rFonts w:ascii="Calibri Light" w:hAnsi="Calibri Light"/>
        <w:color w:val="000000" w:themeColor="text1"/>
        <w:sz w:val="18"/>
      </w:rPr>
      <w:t>MICHIGAN ECONOMIC DEVELOPMENT CORPORATION</w:t>
    </w:r>
    <w:r w:rsidRPr="00FF1893">
      <w:rPr>
        <w:rFonts w:ascii="Calibri Light" w:hAnsi="Calibri Light"/>
        <w:color w:val="000000" w:themeColor="text1"/>
        <w:sz w:val="18"/>
      </w:rPr>
      <w:tab/>
    </w:r>
    <w:r w:rsidRPr="00FF1893">
      <w:rPr>
        <w:rFonts w:ascii="Calibri Light" w:hAnsi="Calibri Light"/>
        <w:color w:val="000000" w:themeColor="text1"/>
        <w:sz w:val="18"/>
      </w:rPr>
      <w:tab/>
      <w:t>CDBG</w:t>
    </w:r>
  </w:p>
  <w:p w:rsidR="00FF1893" w:rsidRDefault="00FF1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C29"/>
    <w:multiLevelType w:val="singleLevel"/>
    <w:tmpl w:val="DC0C3E8C"/>
    <w:lvl w:ilvl="0">
      <w:start w:val="1"/>
      <w:numFmt w:val="upperLetter"/>
      <w:lvlText w:val="(%1)"/>
      <w:legacy w:legacy="1" w:legacySpace="0" w:legacyIndent="576"/>
      <w:lvlJc w:val="left"/>
      <w:pPr>
        <w:ind w:left="2970" w:hanging="576"/>
      </w:pPr>
    </w:lvl>
  </w:abstractNum>
  <w:abstractNum w:abstractNumId="1" w15:restartNumberingAfterBreak="0">
    <w:nsid w:val="5A1F26E2"/>
    <w:multiLevelType w:val="singleLevel"/>
    <w:tmpl w:val="DC0C3E8C"/>
    <w:lvl w:ilvl="0">
      <w:start w:val="1"/>
      <w:numFmt w:val="upperLetter"/>
      <w:lvlText w:val="(%1)"/>
      <w:legacy w:legacy="1" w:legacySpace="0" w:legacyIndent="576"/>
      <w:lvlJc w:val="left"/>
      <w:pPr>
        <w:ind w:left="2970" w:hanging="576"/>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9D"/>
    <w:rsid w:val="00062541"/>
    <w:rsid w:val="000C741B"/>
    <w:rsid w:val="000E0036"/>
    <w:rsid w:val="000F1450"/>
    <w:rsid w:val="00143F55"/>
    <w:rsid w:val="001B672A"/>
    <w:rsid w:val="0021251B"/>
    <w:rsid w:val="002905B1"/>
    <w:rsid w:val="003A139D"/>
    <w:rsid w:val="00413789"/>
    <w:rsid w:val="00420E48"/>
    <w:rsid w:val="004557D6"/>
    <w:rsid w:val="00471350"/>
    <w:rsid w:val="004F4FD2"/>
    <w:rsid w:val="005E59A7"/>
    <w:rsid w:val="007268C5"/>
    <w:rsid w:val="007D4AB6"/>
    <w:rsid w:val="007E1D05"/>
    <w:rsid w:val="007E44D4"/>
    <w:rsid w:val="009351F0"/>
    <w:rsid w:val="00A36DD2"/>
    <w:rsid w:val="00A83860"/>
    <w:rsid w:val="00B76877"/>
    <w:rsid w:val="00C02B42"/>
    <w:rsid w:val="00C36D9A"/>
    <w:rsid w:val="00D87081"/>
    <w:rsid w:val="00D9593E"/>
    <w:rsid w:val="00FF1893"/>
    <w:rsid w:val="00FF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B7360-7B9D-4C70-9066-4F13B8E4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39D"/>
    <w:pPr>
      <w:tabs>
        <w:tab w:val="center" w:pos="4680"/>
        <w:tab w:val="right" w:pos="9360"/>
      </w:tabs>
    </w:pPr>
  </w:style>
  <w:style w:type="character" w:customStyle="1" w:styleId="HeaderChar">
    <w:name w:val="Header Char"/>
    <w:basedOn w:val="DefaultParagraphFont"/>
    <w:link w:val="Header"/>
    <w:uiPriority w:val="99"/>
    <w:rsid w:val="003A139D"/>
  </w:style>
  <w:style w:type="paragraph" w:styleId="Footer">
    <w:name w:val="footer"/>
    <w:basedOn w:val="Normal"/>
    <w:link w:val="FooterChar"/>
    <w:uiPriority w:val="99"/>
    <w:unhideWhenUsed/>
    <w:rsid w:val="003A139D"/>
    <w:pPr>
      <w:tabs>
        <w:tab w:val="center" w:pos="4680"/>
        <w:tab w:val="right" w:pos="9360"/>
      </w:tabs>
    </w:pPr>
  </w:style>
  <w:style w:type="character" w:customStyle="1" w:styleId="FooterChar">
    <w:name w:val="Footer Char"/>
    <w:basedOn w:val="DefaultParagraphFont"/>
    <w:link w:val="Footer"/>
    <w:uiPriority w:val="99"/>
    <w:rsid w:val="003A139D"/>
  </w:style>
  <w:style w:type="paragraph" w:styleId="BalloonText">
    <w:name w:val="Balloon Text"/>
    <w:basedOn w:val="Normal"/>
    <w:link w:val="BalloonTextChar"/>
    <w:uiPriority w:val="99"/>
    <w:semiHidden/>
    <w:unhideWhenUsed/>
    <w:rsid w:val="003A139D"/>
    <w:rPr>
      <w:rFonts w:ascii="Tahoma" w:hAnsi="Tahoma" w:cs="Tahoma"/>
      <w:sz w:val="16"/>
      <w:szCs w:val="16"/>
    </w:rPr>
  </w:style>
  <w:style w:type="character" w:customStyle="1" w:styleId="BalloonTextChar">
    <w:name w:val="Balloon Text Char"/>
    <w:basedOn w:val="DefaultParagraphFont"/>
    <w:link w:val="BalloonText"/>
    <w:uiPriority w:val="99"/>
    <w:semiHidden/>
    <w:rsid w:val="003A139D"/>
    <w:rPr>
      <w:rFonts w:ascii="Tahoma" w:hAnsi="Tahoma" w:cs="Tahoma"/>
      <w:sz w:val="16"/>
      <w:szCs w:val="16"/>
    </w:rPr>
  </w:style>
  <w:style w:type="paragraph" w:customStyle="1" w:styleId="Style1">
    <w:name w:val="Style1"/>
    <w:basedOn w:val="Normal"/>
    <w:rsid w:val="00471350"/>
    <w:pPr>
      <w:tabs>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710" w:hanging="99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13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6346">
      <w:bodyDiv w:val="1"/>
      <w:marLeft w:val="0"/>
      <w:marRight w:val="0"/>
      <w:marTop w:val="0"/>
      <w:marBottom w:val="0"/>
      <w:divBdr>
        <w:top w:val="none" w:sz="0" w:space="0" w:color="auto"/>
        <w:left w:val="none" w:sz="0" w:space="0" w:color="auto"/>
        <w:bottom w:val="none" w:sz="0" w:space="0" w:color="auto"/>
        <w:right w:val="none" w:sz="0" w:space="0" w:color="auto"/>
      </w:divBdr>
    </w:div>
    <w:div w:id="18562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CF64-FCEE-47A2-8E12-11A9569A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Shawne Haddad (MEDC)</cp:lastModifiedBy>
  <cp:revision>10</cp:revision>
  <cp:lastPrinted>2014-01-31T14:35:00Z</cp:lastPrinted>
  <dcterms:created xsi:type="dcterms:W3CDTF">2017-03-14T19:18:00Z</dcterms:created>
  <dcterms:modified xsi:type="dcterms:W3CDTF">2018-05-18T15:55:00Z</dcterms:modified>
</cp:coreProperties>
</file>