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D4B0" w14:textId="02C67C6E" w:rsidR="00B21114" w:rsidRPr="00E846BD" w:rsidRDefault="00D80CCC" w:rsidP="00B21114">
      <w:pPr>
        <w:rPr>
          <w:rFonts w:cstheme="minorHAnsi"/>
          <w:b/>
          <w:bCs/>
          <w:sz w:val="32"/>
          <w:szCs w:val="32"/>
        </w:rPr>
      </w:pPr>
      <w:r w:rsidRPr="00E846BD">
        <w:rPr>
          <w:rFonts w:cstheme="minorHAnsi"/>
          <w:b/>
          <w:bCs/>
          <w:sz w:val="32"/>
          <w:szCs w:val="32"/>
        </w:rPr>
        <w:t>Plan for a Successful Event</w:t>
      </w:r>
    </w:p>
    <w:p w14:paraId="215FC607" w14:textId="1649B19F" w:rsidR="00B21114" w:rsidRPr="00A158EC" w:rsidRDefault="00F3711D" w:rsidP="003F3E25">
      <w:pPr>
        <w:rPr>
          <w:rFonts w:cstheme="minorHAnsi"/>
          <w:b/>
          <w:bCs/>
        </w:rPr>
      </w:pPr>
      <w:r w:rsidRPr="00A158EC">
        <w:rPr>
          <w:rFonts w:cstheme="minorHAnsi"/>
        </w:rPr>
        <w:t xml:space="preserve">Putting the right pieces in place </w:t>
      </w:r>
      <w:r w:rsidR="00C944C6">
        <w:rPr>
          <w:rFonts w:cstheme="minorHAnsi"/>
        </w:rPr>
        <w:t>for</w:t>
      </w:r>
      <w:r w:rsidRPr="00A158EC">
        <w:rPr>
          <w:rFonts w:cstheme="minorHAnsi"/>
        </w:rPr>
        <w:t xml:space="preserve"> the big day </w:t>
      </w:r>
      <w:r w:rsidR="00FB58BF" w:rsidRPr="00A158EC">
        <w:rPr>
          <w:rFonts w:cstheme="minorHAnsi"/>
        </w:rPr>
        <w:t>is essential.</w:t>
      </w:r>
    </w:p>
    <w:p w14:paraId="265EC169" w14:textId="77777777" w:rsidR="00B51680" w:rsidRDefault="00B51680" w:rsidP="00B21114">
      <w:pPr>
        <w:rPr>
          <w:rFonts w:cstheme="minorHAnsi"/>
        </w:rPr>
      </w:pPr>
    </w:p>
    <w:p w14:paraId="13A3B302" w14:textId="51EB707A" w:rsidR="00DB5F42" w:rsidRPr="00027875" w:rsidRDefault="00B12C83" w:rsidP="00027875">
      <w:pPr>
        <w:rPr>
          <w:b/>
          <w:bCs/>
          <w:sz w:val="24"/>
          <w:szCs w:val="24"/>
        </w:rPr>
      </w:pPr>
      <w:r w:rsidRPr="00027875">
        <w:rPr>
          <w:b/>
          <w:bCs/>
          <w:sz w:val="24"/>
          <w:szCs w:val="24"/>
        </w:rPr>
        <w:t xml:space="preserve">Plan the </w:t>
      </w:r>
      <w:proofErr w:type="gramStart"/>
      <w:r w:rsidR="00D80CCC">
        <w:rPr>
          <w:b/>
          <w:bCs/>
          <w:sz w:val="24"/>
          <w:szCs w:val="24"/>
        </w:rPr>
        <w:t>day</w:t>
      </w:r>
      <w:proofErr w:type="gramEnd"/>
    </w:p>
    <w:p w14:paraId="37430CDE" w14:textId="36F9439D" w:rsidR="005C2ACF" w:rsidRPr="00027875" w:rsidRDefault="00D551F9" w:rsidP="00027875">
      <w:pPr>
        <w:rPr>
          <w:b/>
          <w:bCs/>
        </w:rPr>
      </w:pPr>
      <w:r w:rsidRPr="00027875">
        <w:rPr>
          <w:b/>
          <w:bCs/>
        </w:rPr>
        <w:t xml:space="preserve">Select the best </w:t>
      </w:r>
      <w:proofErr w:type="gramStart"/>
      <w:r w:rsidRPr="00027875">
        <w:rPr>
          <w:b/>
          <w:bCs/>
        </w:rPr>
        <w:t>date</w:t>
      </w:r>
      <w:proofErr w:type="gramEnd"/>
    </w:p>
    <w:p w14:paraId="66F42FF3" w14:textId="291CAA1B" w:rsidR="00CA62B5" w:rsidRPr="00027875" w:rsidRDefault="00B97F98" w:rsidP="00027875">
      <w:pPr>
        <w:pStyle w:val="ListParagraph"/>
        <w:numPr>
          <w:ilvl w:val="0"/>
          <w:numId w:val="8"/>
        </w:numPr>
      </w:pPr>
      <w:r w:rsidRPr="00027875">
        <w:t>Choose a weekday time that will allow for the best attendance from the community</w:t>
      </w:r>
      <w:r w:rsidR="00D47632" w:rsidRPr="00027875">
        <w:t>,</w:t>
      </w:r>
      <w:r w:rsidRPr="00027875">
        <w:t xml:space="preserve"> local and statewide </w:t>
      </w:r>
      <w:proofErr w:type="gramStart"/>
      <w:r w:rsidRPr="00027875">
        <w:t>representatives</w:t>
      </w:r>
      <w:proofErr w:type="gramEnd"/>
      <w:r w:rsidRPr="00027875">
        <w:t xml:space="preserve"> </w:t>
      </w:r>
      <w:r w:rsidR="00D47632" w:rsidRPr="00027875">
        <w:t>and the media</w:t>
      </w:r>
      <w:r w:rsidRPr="00027875">
        <w:t>.</w:t>
      </w:r>
    </w:p>
    <w:p w14:paraId="1D3DA3BF" w14:textId="4C649FB7" w:rsidR="0003570A" w:rsidRPr="00027875" w:rsidRDefault="00D47632" w:rsidP="00027875">
      <w:pPr>
        <w:pStyle w:val="ListParagraph"/>
        <w:numPr>
          <w:ilvl w:val="0"/>
          <w:numId w:val="8"/>
        </w:numPr>
      </w:pPr>
      <w:commentRangeStart w:id="0"/>
      <w:r>
        <w:t xml:space="preserve">Check for </w:t>
      </w:r>
      <w:r w:rsidR="0003570A">
        <w:t>other big events</w:t>
      </w:r>
      <w:r w:rsidR="00D543A1">
        <w:t xml:space="preserve"> </w:t>
      </w:r>
      <w:r w:rsidR="0003570A">
        <w:t xml:space="preserve">in the area that could conflict, like holidays, </w:t>
      </w:r>
      <w:r w:rsidR="00D86C6C">
        <w:t xml:space="preserve">local government meetings, </w:t>
      </w:r>
      <w:r w:rsidR="0003570A">
        <w:t xml:space="preserve">other grand </w:t>
      </w:r>
      <w:proofErr w:type="gramStart"/>
      <w:r w:rsidR="0003570A">
        <w:t>openings</w:t>
      </w:r>
      <w:proofErr w:type="gramEnd"/>
      <w:r w:rsidR="0003570A">
        <w:t xml:space="preserve"> or Chamber of Commerce events </w:t>
      </w:r>
      <w:r w:rsidR="00D543A1">
        <w:t>with</w:t>
      </w:r>
      <w:r w:rsidR="0003570A">
        <w:t xml:space="preserve"> overlapping audiences.</w:t>
      </w:r>
      <w:commentRangeEnd w:id="0"/>
      <w:r>
        <w:rPr>
          <w:rStyle w:val="CommentReference"/>
        </w:rPr>
        <w:commentReference w:id="0"/>
      </w:r>
    </w:p>
    <w:p w14:paraId="3151DB5A" w14:textId="4E24550B" w:rsidR="0003570A" w:rsidRPr="00027875" w:rsidRDefault="0003570A" w:rsidP="00027875">
      <w:pPr>
        <w:pStyle w:val="ListParagraph"/>
        <w:numPr>
          <w:ilvl w:val="0"/>
          <w:numId w:val="8"/>
        </w:numPr>
      </w:pPr>
      <w:r w:rsidRPr="00027875">
        <w:t xml:space="preserve">Work with your construction and development partners to </w:t>
      </w:r>
      <w:r w:rsidR="008E1DD1">
        <w:t xml:space="preserve">ensure </w:t>
      </w:r>
      <w:r w:rsidRPr="00027875">
        <w:t xml:space="preserve">the site will be ready for </w:t>
      </w:r>
      <w:r w:rsidR="00CC4CDD" w:rsidRPr="00027875">
        <w:t>visitors and tours.</w:t>
      </w:r>
    </w:p>
    <w:p w14:paraId="07905BA5" w14:textId="77777777" w:rsidR="005A7EB6" w:rsidRPr="00027875" w:rsidRDefault="005A7EB6" w:rsidP="00027875"/>
    <w:p w14:paraId="3CD5B4F1" w14:textId="5E2F9291" w:rsidR="005A7EB6" w:rsidRPr="00027875" w:rsidRDefault="00DC4556" w:rsidP="00027875">
      <w:pPr>
        <w:rPr>
          <w:b/>
          <w:bCs/>
        </w:rPr>
      </w:pPr>
      <w:r w:rsidRPr="00027875">
        <w:rPr>
          <w:b/>
          <w:bCs/>
        </w:rPr>
        <w:t xml:space="preserve">Choose the day’s </w:t>
      </w:r>
      <w:proofErr w:type="gramStart"/>
      <w:r w:rsidRPr="00027875">
        <w:rPr>
          <w:b/>
          <w:bCs/>
        </w:rPr>
        <w:t>activities</w:t>
      </w:r>
      <w:proofErr w:type="gramEnd"/>
    </w:p>
    <w:p w14:paraId="0837F229" w14:textId="5EE5D363" w:rsidR="00A7148E" w:rsidRPr="00027875" w:rsidRDefault="00A7148E" w:rsidP="00027875">
      <w:pPr>
        <w:pStyle w:val="ListParagraph"/>
        <w:numPr>
          <w:ilvl w:val="0"/>
          <w:numId w:val="9"/>
        </w:numPr>
      </w:pPr>
      <w:r w:rsidRPr="00027875">
        <w:t xml:space="preserve">Beyond the </w:t>
      </w:r>
      <w:r w:rsidR="00464E84" w:rsidRPr="00027875">
        <w:t xml:space="preserve">ribbon cutting or groundbreaking, you can plan </w:t>
      </w:r>
      <w:r w:rsidR="00534644" w:rsidRPr="00027875">
        <w:t xml:space="preserve">additional components like </w:t>
      </w:r>
      <w:r w:rsidR="00464E84" w:rsidRPr="00027875">
        <w:t>tours of the project site</w:t>
      </w:r>
      <w:r w:rsidR="00534644" w:rsidRPr="00027875">
        <w:t xml:space="preserve"> and</w:t>
      </w:r>
      <w:r w:rsidR="00464E84" w:rsidRPr="00027875">
        <w:t xml:space="preserve"> exhibits with planning and community information</w:t>
      </w:r>
      <w:r w:rsidR="00534644" w:rsidRPr="00027875">
        <w:t>.</w:t>
      </w:r>
    </w:p>
    <w:p w14:paraId="6E5157F4" w14:textId="4406BB09" w:rsidR="00E5483C" w:rsidRPr="00027875" w:rsidRDefault="00E5483C" w:rsidP="00027875">
      <w:pPr>
        <w:pStyle w:val="ListParagraph"/>
        <w:numPr>
          <w:ilvl w:val="0"/>
          <w:numId w:val="9"/>
        </w:numPr>
      </w:pPr>
      <w:r w:rsidRPr="00027875">
        <w:t xml:space="preserve">Display </w:t>
      </w:r>
      <w:r w:rsidR="003F22DB" w:rsidRPr="00027875">
        <w:t>promotional posters, project blueprints and maps of the area for a visual touch.</w:t>
      </w:r>
    </w:p>
    <w:p w14:paraId="4B24CEFF" w14:textId="6163437F" w:rsidR="00534644" w:rsidRPr="00027875" w:rsidRDefault="00534644" w:rsidP="00027875">
      <w:pPr>
        <w:pStyle w:val="ListParagraph"/>
        <w:numPr>
          <w:ilvl w:val="0"/>
          <w:numId w:val="9"/>
        </w:numPr>
      </w:pPr>
      <w:r w:rsidRPr="00027875">
        <w:t xml:space="preserve">If you plan a tour, choose a </w:t>
      </w:r>
      <w:proofErr w:type="gramStart"/>
      <w:r w:rsidRPr="00027875">
        <w:t>guide</w:t>
      </w:r>
      <w:proofErr w:type="gramEnd"/>
      <w:r w:rsidR="0001589D" w:rsidRPr="00027875">
        <w:t xml:space="preserve"> or develop materials for a self-guide</w:t>
      </w:r>
      <w:r w:rsidR="00E5483C" w:rsidRPr="00027875">
        <w:t>d</w:t>
      </w:r>
      <w:r w:rsidR="0001589D" w:rsidRPr="00027875">
        <w:t xml:space="preserve"> tour. </w:t>
      </w:r>
      <w:r w:rsidR="001A0940" w:rsidRPr="00027875">
        <w:t>Clearly</w:t>
      </w:r>
      <w:r w:rsidR="0001589D" w:rsidRPr="00027875">
        <w:t xml:space="preserve"> mark important points</w:t>
      </w:r>
      <w:r w:rsidR="001A0940" w:rsidRPr="00027875">
        <w:t xml:space="preserve"> </w:t>
      </w:r>
      <w:r w:rsidR="0001589D" w:rsidRPr="00027875">
        <w:t>and have handouts with extra information.</w:t>
      </w:r>
    </w:p>
    <w:p w14:paraId="40FF375E" w14:textId="03C15BB0" w:rsidR="005A7EB6" w:rsidRPr="00027875" w:rsidRDefault="0001589D" w:rsidP="00027875">
      <w:pPr>
        <w:pStyle w:val="ListParagraph"/>
        <w:numPr>
          <w:ilvl w:val="0"/>
          <w:numId w:val="9"/>
        </w:numPr>
      </w:pPr>
      <w:r>
        <w:t xml:space="preserve">Make sure you have required safety items like hard hats and vests and </w:t>
      </w:r>
      <w:r w:rsidR="00FD04D4">
        <w:t xml:space="preserve">designate </w:t>
      </w:r>
      <w:r>
        <w:t xml:space="preserve">any off-limits areas </w:t>
      </w:r>
      <w:r w:rsidR="001A0940">
        <w:t>that could be hazardous.</w:t>
      </w:r>
      <w:r w:rsidR="005A7EB6" w:rsidRPr="11E697F4">
        <w:rPr>
          <w:highlight w:val="yellow"/>
        </w:rPr>
        <w:t xml:space="preserve"> </w:t>
      </w:r>
    </w:p>
    <w:p w14:paraId="6CA97AB7" w14:textId="77777777" w:rsidR="005A7EB6" w:rsidRPr="00027875" w:rsidRDefault="005A7EB6" w:rsidP="00027875"/>
    <w:p w14:paraId="69149E85" w14:textId="77777777" w:rsidR="005A7EB6" w:rsidRPr="00027875" w:rsidRDefault="005A7EB6" w:rsidP="00027875">
      <w:pPr>
        <w:rPr>
          <w:b/>
          <w:bCs/>
        </w:rPr>
      </w:pPr>
      <w:r w:rsidRPr="00027875">
        <w:rPr>
          <w:b/>
          <w:bCs/>
        </w:rPr>
        <w:t>Schedule the ceremony</w:t>
      </w:r>
    </w:p>
    <w:p w14:paraId="6098873D" w14:textId="776A2477" w:rsidR="00B16E8A" w:rsidRPr="00027875" w:rsidRDefault="00B16E8A" w:rsidP="00027875">
      <w:pPr>
        <w:pStyle w:val="ListParagraph"/>
        <w:numPr>
          <w:ilvl w:val="0"/>
          <w:numId w:val="10"/>
        </w:numPr>
      </w:pPr>
      <w:r w:rsidRPr="00027875">
        <w:t>The highli</w:t>
      </w:r>
      <w:r w:rsidR="00A70DBC" w:rsidRPr="00027875">
        <w:t>ght of the event is the ribbon cutting or groundbreaking, which usually lasts up to 20 minutes.</w:t>
      </w:r>
    </w:p>
    <w:p w14:paraId="2D754F74" w14:textId="01F0B9AF" w:rsidR="004E61BD" w:rsidRPr="00027875" w:rsidRDefault="004E61BD" w:rsidP="00027875">
      <w:pPr>
        <w:pStyle w:val="ListParagraph"/>
        <w:numPr>
          <w:ilvl w:val="0"/>
          <w:numId w:val="10"/>
        </w:numPr>
      </w:pPr>
      <w:r w:rsidRPr="00027875">
        <w:t xml:space="preserve">Determine who is speaking and notify </w:t>
      </w:r>
      <w:r w:rsidR="00027875" w:rsidRPr="00027875">
        <w:t>each person of the allotted time for their remarks.</w:t>
      </w:r>
    </w:p>
    <w:p w14:paraId="01DC500A" w14:textId="20359810" w:rsidR="00A70DBC" w:rsidRPr="00027875" w:rsidRDefault="00A70DBC" w:rsidP="00027875">
      <w:pPr>
        <w:pStyle w:val="ListParagraph"/>
        <w:numPr>
          <w:ilvl w:val="0"/>
          <w:numId w:val="10"/>
        </w:numPr>
      </w:pPr>
      <w:r>
        <w:t xml:space="preserve">Decide </w:t>
      </w:r>
      <w:r w:rsidR="00397081">
        <w:t xml:space="preserve">positions for the ceremony, such </w:t>
      </w:r>
      <w:r w:rsidR="2135E831">
        <w:t xml:space="preserve">as </w:t>
      </w:r>
      <w:r w:rsidR="00397081">
        <w:t>who gets to hold the scissors or the ribbon, or who gets a shovel</w:t>
      </w:r>
      <w:r w:rsidR="006E6547">
        <w:t>, and notify the appointed people in advance.</w:t>
      </w:r>
    </w:p>
    <w:p w14:paraId="624552F3" w14:textId="1F5632B7" w:rsidR="004E61BD" w:rsidRPr="00027875" w:rsidRDefault="006E6547" w:rsidP="00027875">
      <w:pPr>
        <w:pStyle w:val="ListParagraph"/>
        <w:numPr>
          <w:ilvl w:val="0"/>
          <w:numId w:val="10"/>
        </w:numPr>
      </w:pPr>
      <w:r w:rsidRPr="00027875">
        <w:t>Position those participating so they’re facing the audience</w:t>
      </w:r>
      <w:r w:rsidR="004E61BD" w:rsidRPr="00027875">
        <w:t xml:space="preserve"> and any photographers and media present.</w:t>
      </w:r>
    </w:p>
    <w:p w14:paraId="407ED651" w14:textId="77777777" w:rsidR="00CC4CDD" w:rsidRPr="00A158EC" w:rsidRDefault="00CC4CDD" w:rsidP="000357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0BB1D2" w14:textId="0C88FBE5" w:rsidR="00DB5F42" w:rsidRPr="0035553B" w:rsidRDefault="00D551F9" w:rsidP="00A135D4">
      <w:pPr>
        <w:rPr>
          <w:b/>
          <w:bCs/>
          <w:sz w:val="24"/>
          <w:szCs w:val="24"/>
        </w:rPr>
      </w:pPr>
      <w:r w:rsidRPr="0035553B">
        <w:rPr>
          <w:b/>
          <w:bCs/>
          <w:sz w:val="24"/>
          <w:szCs w:val="24"/>
        </w:rPr>
        <w:t xml:space="preserve">Invite the </w:t>
      </w:r>
      <w:proofErr w:type="gramStart"/>
      <w:r w:rsidRPr="0035553B">
        <w:rPr>
          <w:b/>
          <w:bCs/>
          <w:sz w:val="24"/>
          <w:szCs w:val="24"/>
        </w:rPr>
        <w:t>community</w:t>
      </w:r>
      <w:proofErr w:type="gramEnd"/>
    </w:p>
    <w:p w14:paraId="25288561" w14:textId="77777777" w:rsidR="005658EA" w:rsidRPr="00A135D4" w:rsidRDefault="005658EA" w:rsidP="00A135D4">
      <w:pPr>
        <w:rPr>
          <w:b/>
          <w:bCs/>
        </w:rPr>
      </w:pPr>
      <w:r w:rsidRPr="00A135D4">
        <w:rPr>
          <w:b/>
          <w:bCs/>
        </w:rPr>
        <w:t xml:space="preserve">Appoint a </w:t>
      </w:r>
      <w:proofErr w:type="gramStart"/>
      <w:r w:rsidRPr="00A135D4">
        <w:rPr>
          <w:b/>
          <w:bCs/>
        </w:rPr>
        <w:t>contact</w:t>
      </w:r>
      <w:proofErr w:type="gramEnd"/>
    </w:p>
    <w:p w14:paraId="0BA3AF8F" w14:textId="5557F84A" w:rsidR="005658EA" w:rsidRPr="00A135D4" w:rsidRDefault="00D80CCC" w:rsidP="00A135D4">
      <w:pPr>
        <w:pStyle w:val="ListParagraph"/>
        <w:numPr>
          <w:ilvl w:val="0"/>
          <w:numId w:val="15"/>
        </w:numPr>
      </w:pPr>
      <w:commentRangeStart w:id="1"/>
      <w:r>
        <w:t xml:space="preserve">Pick </w:t>
      </w:r>
      <w:r w:rsidR="000F1658">
        <w:t>someone</w:t>
      </w:r>
      <w:r>
        <w:t xml:space="preserve"> </w:t>
      </w:r>
      <w:r w:rsidR="004163DB">
        <w:t xml:space="preserve">from your organization </w:t>
      </w:r>
      <w:r>
        <w:t xml:space="preserve">to manage </w:t>
      </w:r>
      <w:r w:rsidR="00085C53">
        <w:t xml:space="preserve">speakers, </w:t>
      </w:r>
      <w:proofErr w:type="gramStart"/>
      <w:r w:rsidR="00085C53">
        <w:t>reservations</w:t>
      </w:r>
      <w:proofErr w:type="gramEnd"/>
      <w:r w:rsidR="00085C53">
        <w:t xml:space="preserve"> and questions</w:t>
      </w:r>
      <w:r w:rsidR="000F1658">
        <w:t xml:space="preserve">, often the same person </w:t>
      </w:r>
      <w:r w:rsidR="17340256">
        <w:t>who</w:t>
      </w:r>
      <w:r w:rsidR="000F1658">
        <w:t xml:space="preserve"> is list</w:t>
      </w:r>
      <w:r w:rsidR="0065287A">
        <w:t>ed as the contact on other promotional and press materials</w:t>
      </w:r>
      <w:r w:rsidR="00085C53">
        <w:t>. This person can also send reminders or follow</w:t>
      </w:r>
      <w:r w:rsidR="3CD27B2A">
        <w:t xml:space="preserve"> </w:t>
      </w:r>
      <w:r w:rsidR="00085C53">
        <w:t>up on important people that haven’t responded.</w:t>
      </w:r>
      <w:r w:rsidR="005658EA">
        <w:t xml:space="preserve"> </w:t>
      </w:r>
      <w:commentRangeEnd w:id="1"/>
      <w:r>
        <w:rPr>
          <w:rStyle w:val="CommentReference"/>
        </w:rPr>
        <w:commentReference w:id="1"/>
      </w:r>
    </w:p>
    <w:p w14:paraId="493809C8" w14:textId="77777777" w:rsidR="005658EA" w:rsidRPr="00A135D4" w:rsidRDefault="005658EA" w:rsidP="00A135D4">
      <w:pPr>
        <w:rPr>
          <w:highlight w:val="yellow"/>
        </w:rPr>
      </w:pPr>
    </w:p>
    <w:p w14:paraId="05DC262F" w14:textId="301A12D4" w:rsidR="005658EA" w:rsidRPr="00A135D4" w:rsidRDefault="00A7148E" w:rsidP="00A135D4">
      <w:pPr>
        <w:rPr>
          <w:b/>
          <w:bCs/>
        </w:rPr>
      </w:pPr>
      <w:r w:rsidRPr="00A135D4">
        <w:rPr>
          <w:b/>
          <w:bCs/>
        </w:rPr>
        <w:t>Nominate</w:t>
      </w:r>
      <w:r w:rsidR="005658EA" w:rsidRPr="00A135D4">
        <w:rPr>
          <w:b/>
          <w:bCs/>
        </w:rPr>
        <w:t xml:space="preserve"> your </w:t>
      </w:r>
      <w:proofErr w:type="gramStart"/>
      <w:r w:rsidR="005658EA" w:rsidRPr="00A135D4">
        <w:rPr>
          <w:b/>
          <w:bCs/>
        </w:rPr>
        <w:t>speakers</w:t>
      </w:r>
      <w:proofErr w:type="gramEnd"/>
      <w:r w:rsidR="005658EA" w:rsidRPr="00A135D4">
        <w:rPr>
          <w:b/>
          <w:bCs/>
        </w:rPr>
        <w:t xml:space="preserve"> </w:t>
      </w:r>
    </w:p>
    <w:p w14:paraId="1BAC151D" w14:textId="2ADD1A68" w:rsidR="005C14BD" w:rsidRPr="00A135D4" w:rsidRDefault="00472E66" w:rsidP="00A135D4">
      <w:pPr>
        <w:pStyle w:val="ListParagraph"/>
        <w:numPr>
          <w:ilvl w:val="0"/>
          <w:numId w:val="14"/>
        </w:numPr>
      </w:pPr>
      <w:r>
        <w:t xml:space="preserve">Choose speakers </w:t>
      </w:r>
      <w:r w:rsidR="5A9B7337">
        <w:t>who</w:t>
      </w:r>
      <w:r w:rsidR="0076703E">
        <w:t xml:space="preserve"> know the project, the community or </w:t>
      </w:r>
      <w:r w:rsidR="001910AD">
        <w:t>the development’s positive impact. Ask them early to increase the likelihood of attendance and set expectations that they’ll speak for up to five minutes.</w:t>
      </w:r>
    </w:p>
    <w:p w14:paraId="029AE372" w14:textId="42CBCF59" w:rsidR="005658EA" w:rsidRPr="00A135D4" w:rsidRDefault="009D4633" w:rsidP="00A135D4">
      <w:pPr>
        <w:pStyle w:val="ListParagraph"/>
        <w:numPr>
          <w:ilvl w:val="0"/>
          <w:numId w:val="14"/>
        </w:numPr>
      </w:pPr>
      <w:r w:rsidRPr="00A135D4">
        <w:t>Aside from the ceremony speakers, an emcee can help with the structure of the event. They’ll be able to speak to the project, welcome people in</w:t>
      </w:r>
      <w:r w:rsidR="005C14BD" w:rsidRPr="00A135D4">
        <w:t>,</w:t>
      </w:r>
      <w:r w:rsidRPr="00A135D4">
        <w:t xml:space="preserve"> acknowledge </w:t>
      </w:r>
      <w:r w:rsidR="005C14BD" w:rsidRPr="00A135D4">
        <w:t>partners and important attendees and introduce speakers.</w:t>
      </w:r>
    </w:p>
    <w:p w14:paraId="2C61A670" w14:textId="77777777" w:rsidR="005658EA" w:rsidRPr="00A135D4" w:rsidRDefault="005658EA" w:rsidP="00A135D4">
      <w:pPr>
        <w:rPr>
          <w:highlight w:val="yellow"/>
        </w:rPr>
      </w:pPr>
    </w:p>
    <w:p w14:paraId="068F52F1" w14:textId="75961B39" w:rsidR="005C2ACF" w:rsidRPr="00A135D4" w:rsidRDefault="00A158EC" w:rsidP="00A135D4">
      <w:pPr>
        <w:rPr>
          <w:b/>
          <w:bCs/>
        </w:rPr>
      </w:pPr>
      <w:r w:rsidRPr="00A135D4">
        <w:rPr>
          <w:b/>
          <w:bCs/>
        </w:rPr>
        <w:t xml:space="preserve">Set your guest </w:t>
      </w:r>
      <w:proofErr w:type="gramStart"/>
      <w:r w:rsidRPr="00A135D4">
        <w:rPr>
          <w:b/>
          <w:bCs/>
        </w:rPr>
        <w:t>list</w:t>
      </w:r>
      <w:proofErr w:type="gramEnd"/>
    </w:p>
    <w:p w14:paraId="423E6B51" w14:textId="489C95A7" w:rsidR="004163DB" w:rsidRPr="00A135D4" w:rsidRDefault="004163DB" w:rsidP="00A135D4">
      <w:pPr>
        <w:pStyle w:val="ListParagraph"/>
        <w:numPr>
          <w:ilvl w:val="0"/>
          <w:numId w:val="13"/>
        </w:numPr>
      </w:pPr>
      <w:r w:rsidRPr="00A135D4">
        <w:t>It’s not an event without the community in attendance. Once you know how many people should attend, begin creating a list.</w:t>
      </w:r>
    </w:p>
    <w:p w14:paraId="3723ADCB" w14:textId="0141EBB1" w:rsidR="005C2ACF" w:rsidRPr="00A135D4" w:rsidRDefault="007B2E8C" w:rsidP="00A135D4">
      <w:pPr>
        <w:pStyle w:val="ListParagraph"/>
        <w:numPr>
          <w:ilvl w:val="0"/>
          <w:numId w:val="13"/>
        </w:numPr>
      </w:pPr>
      <w:r>
        <w:t>Business partners</w:t>
      </w:r>
      <w:r w:rsidR="0049273F">
        <w:t>, community representatives</w:t>
      </w:r>
      <w:r w:rsidR="00A135D4">
        <w:t>, nearby businesses, staff</w:t>
      </w:r>
      <w:r w:rsidR="2F29E928">
        <w:t>,</w:t>
      </w:r>
      <w:r w:rsidR="00A135D4">
        <w:t xml:space="preserve"> family and friends and the media could all be valuable attendees to the event.</w:t>
      </w:r>
      <w:r w:rsidR="005C2ACF" w:rsidRPr="11E697F4">
        <w:rPr>
          <w:highlight w:val="yellow"/>
        </w:rPr>
        <w:t xml:space="preserve"> </w:t>
      </w:r>
    </w:p>
    <w:p w14:paraId="73E3F206" w14:textId="77777777" w:rsidR="00897E1A" w:rsidRDefault="00897E1A" w:rsidP="005C2ACF">
      <w:pPr>
        <w:pStyle w:val="Default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sectPr w:rsidR="00897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shua Prusik (MEDC)" w:date="2023-07-05T10:43:00Z" w:initials="J(">
    <w:p w14:paraId="79B78791" w14:textId="5BF90D77" w:rsidR="550CF84E" w:rsidRDefault="550CF84E">
      <w:pPr>
        <w:pStyle w:val="CommentText"/>
      </w:pPr>
      <w:r>
        <w:t>Might be worth adding in local government meetings, like council, to this list, to allow for attendance from those officials.</w:t>
      </w:r>
      <w:r>
        <w:rPr>
          <w:rStyle w:val="CommentReference"/>
        </w:rPr>
        <w:annotationRef/>
      </w:r>
    </w:p>
  </w:comment>
  <w:comment w:id="1" w:author="Joshua Prusik (MEDC)" w:date="2023-07-05T10:48:00Z" w:initials="J(">
    <w:p w14:paraId="20E4A944" w14:textId="758496A0" w:rsidR="22D070C3" w:rsidRDefault="22D070C3">
      <w:pPr>
        <w:pStyle w:val="CommentText"/>
      </w:pPr>
      <w:r>
        <w:t>Might be worth calling out that this contact would be consistently listed and promoted through the accompanying press release/media template docs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B78791" w15:done="1"/>
  <w15:commentEx w15:paraId="20E4A94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D013CD" w16cex:dateUtc="2023-07-05T14:43:00Z"/>
  <w16cex:commentExtensible w16cex:durableId="050A0A89" w16cex:dateUtc="2023-07-05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B78791" w16cid:durableId="19D013CD"/>
  <w16cid:commentId w16cid:paraId="20E4A944" w16cid:durableId="050A0A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E8E"/>
    <w:multiLevelType w:val="hybridMultilevel"/>
    <w:tmpl w:val="72CA1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14A1"/>
    <w:multiLevelType w:val="hybridMultilevel"/>
    <w:tmpl w:val="575E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F81"/>
    <w:multiLevelType w:val="hybridMultilevel"/>
    <w:tmpl w:val="79A8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8CC"/>
    <w:multiLevelType w:val="hybridMultilevel"/>
    <w:tmpl w:val="E4F4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83D52"/>
    <w:multiLevelType w:val="hybridMultilevel"/>
    <w:tmpl w:val="63E4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43575"/>
    <w:multiLevelType w:val="hybridMultilevel"/>
    <w:tmpl w:val="32F4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228B3"/>
    <w:multiLevelType w:val="hybridMultilevel"/>
    <w:tmpl w:val="257A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4399C"/>
    <w:multiLevelType w:val="hybridMultilevel"/>
    <w:tmpl w:val="C624C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07DD4"/>
    <w:multiLevelType w:val="hybridMultilevel"/>
    <w:tmpl w:val="04FE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E0EF2"/>
    <w:multiLevelType w:val="hybridMultilevel"/>
    <w:tmpl w:val="0A84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46310"/>
    <w:multiLevelType w:val="hybridMultilevel"/>
    <w:tmpl w:val="6DE2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E0EC7"/>
    <w:multiLevelType w:val="hybridMultilevel"/>
    <w:tmpl w:val="33C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36B00"/>
    <w:multiLevelType w:val="hybridMultilevel"/>
    <w:tmpl w:val="4FF0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56AE7"/>
    <w:multiLevelType w:val="hybridMultilevel"/>
    <w:tmpl w:val="E6DA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06B1E"/>
    <w:multiLevelType w:val="multilevel"/>
    <w:tmpl w:val="4A02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1230572">
    <w:abstractNumId w:val="10"/>
  </w:num>
  <w:num w:numId="2" w16cid:durableId="2006518769">
    <w:abstractNumId w:val="14"/>
  </w:num>
  <w:num w:numId="3" w16cid:durableId="505169747">
    <w:abstractNumId w:val="2"/>
  </w:num>
  <w:num w:numId="4" w16cid:durableId="1343782198">
    <w:abstractNumId w:val="9"/>
  </w:num>
  <w:num w:numId="5" w16cid:durableId="1536968823">
    <w:abstractNumId w:val="5"/>
  </w:num>
  <w:num w:numId="6" w16cid:durableId="890464064">
    <w:abstractNumId w:val="6"/>
  </w:num>
  <w:num w:numId="7" w16cid:durableId="1670209716">
    <w:abstractNumId w:val="3"/>
  </w:num>
  <w:num w:numId="8" w16cid:durableId="352649777">
    <w:abstractNumId w:val="11"/>
  </w:num>
  <w:num w:numId="9" w16cid:durableId="575214306">
    <w:abstractNumId w:val="1"/>
  </w:num>
  <w:num w:numId="10" w16cid:durableId="1760757011">
    <w:abstractNumId w:val="12"/>
  </w:num>
  <w:num w:numId="11" w16cid:durableId="1668482244">
    <w:abstractNumId w:val="0"/>
  </w:num>
  <w:num w:numId="12" w16cid:durableId="548301131">
    <w:abstractNumId w:val="7"/>
  </w:num>
  <w:num w:numId="13" w16cid:durableId="1498762497">
    <w:abstractNumId w:val="13"/>
  </w:num>
  <w:num w:numId="14" w16cid:durableId="1390810711">
    <w:abstractNumId w:val="8"/>
  </w:num>
  <w:num w:numId="15" w16cid:durableId="33811653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ua Prusik (MEDC)">
    <w15:presenceInfo w15:providerId="AD" w15:userId="S::prusikj@michigan.org::8c65b88d-5d8c-4480-a4bc-b33a0828ff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1F"/>
    <w:rsid w:val="00005883"/>
    <w:rsid w:val="0001589D"/>
    <w:rsid w:val="00024033"/>
    <w:rsid w:val="00027875"/>
    <w:rsid w:val="0003570A"/>
    <w:rsid w:val="00050C79"/>
    <w:rsid w:val="00085C53"/>
    <w:rsid w:val="000F1658"/>
    <w:rsid w:val="001430CB"/>
    <w:rsid w:val="0016081D"/>
    <w:rsid w:val="001910AD"/>
    <w:rsid w:val="001A0940"/>
    <w:rsid w:val="001B0A69"/>
    <w:rsid w:val="002076C8"/>
    <w:rsid w:val="00217139"/>
    <w:rsid w:val="00243A6E"/>
    <w:rsid w:val="00244234"/>
    <w:rsid w:val="002D0DEC"/>
    <w:rsid w:val="0035553B"/>
    <w:rsid w:val="00397081"/>
    <w:rsid w:val="003C721F"/>
    <w:rsid w:val="003F22DB"/>
    <w:rsid w:val="003F3E25"/>
    <w:rsid w:val="004163DB"/>
    <w:rsid w:val="00424298"/>
    <w:rsid w:val="00426451"/>
    <w:rsid w:val="00464E84"/>
    <w:rsid w:val="00472E66"/>
    <w:rsid w:val="0049273F"/>
    <w:rsid w:val="004E37F3"/>
    <w:rsid w:val="004E61BD"/>
    <w:rsid w:val="00534644"/>
    <w:rsid w:val="005658EA"/>
    <w:rsid w:val="005A1BC6"/>
    <w:rsid w:val="005A7EB6"/>
    <w:rsid w:val="005C14BD"/>
    <w:rsid w:val="005C2ACF"/>
    <w:rsid w:val="005C5152"/>
    <w:rsid w:val="005D35D2"/>
    <w:rsid w:val="00622F2D"/>
    <w:rsid w:val="0064389D"/>
    <w:rsid w:val="0065287A"/>
    <w:rsid w:val="006A232A"/>
    <w:rsid w:val="006E6547"/>
    <w:rsid w:val="00720183"/>
    <w:rsid w:val="0076703E"/>
    <w:rsid w:val="007938EB"/>
    <w:rsid w:val="007B2E8C"/>
    <w:rsid w:val="007B629F"/>
    <w:rsid w:val="007C0D3D"/>
    <w:rsid w:val="007E2F75"/>
    <w:rsid w:val="00897E1A"/>
    <w:rsid w:val="008E1DD1"/>
    <w:rsid w:val="009807C5"/>
    <w:rsid w:val="00993CE2"/>
    <w:rsid w:val="009B5922"/>
    <w:rsid w:val="009D4633"/>
    <w:rsid w:val="00A135D4"/>
    <w:rsid w:val="00A158EC"/>
    <w:rsid w:val="00A55793"/>
    <w:rsid w:val="00A70DBC"/>
    <w:rsid w:val="00A70F5E"/>
    <w:rsid w:val="00A7148E"/>
    <w:rsid w:val="00A8080B"/>
    <w:rsid w:val="00AE6129"/>
    <w:rsid w:val="00B12C83"/>
    <w:rsid w:val="00B16E8A"/>
    <w:rsid w:val="00B21114"/>
    <w:rsid w:val="00B51680"/>
    <w:rsid w:val="00B9216D"/>
    <w:rsid w:val="00B97F98"/>
    <w:rsid w:val="00C07690"/>
    <w:rsid w:val="00C348A3"/>
    <w:rsid w:val="00C4448E"/>
    <w:rsid w:val="00C60D89"/>
    <w:rsid w:val="00C944C6"/>
    <w:rsid w:val="00CA62B5"/>
    <w:rsid w:val="00CC4CDD"/>
    <w:rsid w:val="00D47632"/>
    <w:rsid w:val="00D51445"/>
    <w:rsid w:val="00D543A1"/>
    <w:rsid w:val="00D551F9"/>
    <w:rsid w:val="00D73A45"/>
    <w:rsid w:val="00D80CCC"/>
    <w:rsid w:val="00D86C6C"/>
    <w:rsid w:val="00DB5F42"/>
    <w:rsid w:val="00DC4556"/>
    <w:rsid w:val="00E210FD"/>
    <w:rsid w:val="00E364A1"/>
    <w:rsid w:val="00E5483C"/>
    <w:rsid w:val="00E63945"/>
    <w:rsid w:val="00E846BD"/>
    <w:rsid w:val="00E85483"/>
    <w:rsid w:val="00E90589"/>
    <w:rsid w:val="00EF4E63"/>
    <w:rsid w:val="00F169C3"/>
    <w:rsid w:val="00F3711D"/>
    <w:rsid w:val="00F52EEA"/>
    <w:rsid w:val="00FB5418"/>
    <w:rsid w:val="00FB58BF"/>
    <w:rsid w:val="00FD04D4"/>
    <w:rsid w:val="00FD1A49"/>
    <w:rsid w:val="0672AB6D"/>
    <w:rsid w:val="11E697F4"/>
    <w:rsid w:val="17340256"/>
    <w:rsid w:val="2135E831"/>
    <w:rsid w:val="22D070C3"/>
    <w:rsid w:val="2F29E928"/>
    <w:rsid w:val="37DB9B2C"/>
    <w:rsid w:val="3CD27B2A"/>
    <w:rsid w:val="4D6DEBA0"/>
    <w:rsid w:val="550CF84E"/>
    <w:rsid w:val="5A9B7337"/>
    <w:rsid w:val="6AA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0148"/>
  <w15:chartTrackingRefBased/>
  <w15:docId w15:val="{163D3E88-22BB-4025-A986-2CA64B90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E25"/>
    <w:pPr>
      <w:ind w:left="720"/>
      <w:contextualSpacing/>
    </w:pPr>
  </w:style>
  <w:style w:type="paragraph" w:customStyle="1" w:styleId="Default">
    <w:name w:val="Default"/>
    <w:rsid w:val="005C2ACF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kern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Anderson (MEDC)</dc:creator>
  <cp:keywords/>
  <dc:description/>
  <cp:lastModifiedBy>Garrett Anderson (MEDC)</cp:lastModifiedBy>
  <cp:revision>7</cp:revision>
  <dcterms:created xsi:type="dcterms:W3CDTF">2023-07-18T11:27:00Z</dcterms:created>
  <dcterms:modified xsi:type="dcterms:W3CDTF">2023-07-18T19:08:00Z</dcterms:modified>
</cp:coreProperties>
</file>